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9003" w14:textId="2D429FCA" w:rsidR="00F32CCF" w:rsidRPr="00E367A2" w:rsidRDefault="00F32CCF" w:rsidP="0029066D">
      <w:pPr>
        <w:spacing w:before="120" w:after="0" w:line="276" w:lineRule="auto"/>
        <w:jc w:val="center"/>
        <w:outlineLvl w:val="2"/>
        <w:rPr>
          <w:rFonts w:ascii="Times New Roman" w:eastAsia="Times New Roman" w:hAnsi="Times New Roman" w:cs="Times New Roman"/>
          <w:b/>
          <w:bCs/>
          <w:sz w:val="32"/>
          <w:szCs w:val="32"/>
          <w:lang w:eastAsia="en-IN"/>
        </w:rPr>
      </w:pPr>
      <w:r w:rsidRPr="00E367A2">
        <w:rPr>
          <w:rFonts w:ascii="Times New Roman" w:eastAsia="Times New Roman" w:hAnsi="Times New Roman" w:cs="Times New Roman"/>
          <w:b/>
          <w:bCs/>
          <w:sz w:val="32"/>
          <w:szCs w:val="32"/>
          <w:lang w:eastAsia="en-IN"/>
        </w:rPr>
        <w:t xml:space="preserve">Study of Financial Literacy and </w:t>
      </w:r>
      <w:r w:rsidR="00A61429">
        <w:rPr>
          <w:rFonts w:ascii="Times New Roman" w:eastAsia="Times New Roman" w:hAnsi="Times New Roman" w:cs="Times New Roman"/>
          <w:b/>
          <w:bCs/>
          <w:sz w:val="32"/>
          <w:szCs w:val="32"/>
          <w:lang w:eastAsia="en-IN"/>
        </w:rPr>
        <w:t>i</w:t>
      </w:r>
      <w:r w:rsidRPr="00E367A2">
        <w:rPr>
          <w:rFonts w:ascii="Times New Roman" w:eastAsia="Times New Roman" w:hAnsi="Times New Roman" w:cs="Times New Roman"/>
          <w:b/>
          <w:bCs/>
          <w:sz w:val="32"/>
          <w:szCs w:val="32"/>
          <w:lang w:eastAsia="en-IN"/>
        </w:rPr>
        <w:t xml:space="preserve">nvestment Behaviour among </w:t>
      </w:r>
      <w:r w:rsidR="00A61429">
        <w:rPr>
          <w:rFonts w:ascii="Times New Roman" w:eastAsia="Times New Roman" w:hAnsi="Times New Roman" w:cs="Times New Roman"/>
          <w:b/>
          <w:bCs/>
          <w:sz w:val="32"/>
          <w:szCs w:val="32"/>
          <w:lang w:eastAsia="en-IN"/>
        </w:rPr>
        <w:t>y</w:t>
      </w:r>
      <w:r w:rsidRPr="00E367A2">
        <w:rPr>
          <w:rFonts w:ascii="Times New Roman" w:eastAsia="Times New Roman" w:hAnsi="Times New Roman" w:cs="Times New Roman"/>
          <w:b/>
          <w:bCs/>
          <w:sz w:val="32"/>
          <w:szCs w:val="32"/>
          <w:lang w:eastAsia="en-IN"/>
        </w:rPr>
        <w:t>outh</w:t>
      </w:r>
      <w:r w:rsidR="0029066D" w:rsidRPr="00E367A2">
        <w:rPr>
          <w:rFonts w:ascii="Times New Roman" w:eastAsia="Times New Roman" w:hAnsi="Times New Roman" w:cs="Times New Roman"/>
          <w:b/>
          <w:bCs/>
          <w:sz w:val="32"/>
          <w:szCs w:val="32"/>
          <w:lang w:eastAsia="en-IN"/>
        </w:rPr>
        <w:t xml:space="preserve"> </w:t>
      </w:r>
      <w:r w:rsidR="00A61429">
        <w:rPr>
          <w:rFonts w:ascii="Times New Roman" w:eastAsia="Times New Roman" w:hAnsi="Times New Roman" w:cs="Times New Roman"/>
          <w:b/>
          <w:bCs/>
          <w:sz w:val="32"/>
          <w:szCs w:val="32"/>
          <w:lang w:eastAsia="en-IN"/>
        </w:rPr>
        <w:t>i</w:t>
      </w:r>
      <w:r w:rsidRPr="00E367A2">
        <w:rPr>
          <w:rFonts w:ascii="Times New Roman" w:eastAsia="Times New Roman" w:hAnsi="Times New Roman" w:cs="Times New Roman"/>
          <w:b/>
          <w:bCs/>
          <w:sz w:val="32"/>
          <w:szCs w:val="32"/>
          <w:lang w:eastAsia="en-IN"/>
        </w:rPr>
        <w:t xml:space="preserve">n </w:t>
      </w:r>
      <w:r w:rsidR="00A61429">
        <w:rPr>
          <w:rFonts w:ascii="Times New Roman" w:eastAsia="Times New Roman" w:hAnsi="Times New Roman" w:cs="Times New Roman"/>
          <w:b/>
          <w:bCs/>
          <w:sz w:val="32"/>
          <w:szCs w:val="32"/>
          <w:lang w:eastAsia="en-IN"/>
        </w:rPr>
        <w:t>u</w:t>
      </w:r>
      <w:r w:rsidRPr="00E367A2">
        <w:rPr>
          <w:rFonts w:ascii="Times New Roman" w:eastAsia="Times New Roman" w:hAnsi="Times New Roman" w:cs="Times New Roman"/>
          <w:b/>
          <w:bCs/>
          <w:sz w:val="32"/>
          <w:szCs w:val="32"/>
          <w:lang w:eastAsia="en-IN"/>
        </w:rPr>
        <w:t xml:space="preserve">rban </w:t>
      </w:r>
      <w:r w:rsidR="00A61429">
        <w:rPr>
          <w:rFonts w:ascii="Times New Roman" w:eastAsia="Times New Roman" w:hAnsi="Times New Roman" w:cs="Times New Roman"/>
          <w:b/>
          <w:bCs/>
          <w:sz w:val="32"/>
          <w:szCs w:val="32"/>
          <w:lang w:eastAsia="en-IN"/>
        </w:rPr>
        <w:t>n</w:t>
      </w:r>
      <w:r w:rsidRPr="00E367A2">
        <w:rPr>
          <w:rFonts w:ascii="Times New Roman" w:eastAsia="Times New Roman" w:hAnsi="Times New Roman" w:cs="Times New Roman"/>
          <w:b/>
          <w:bCs/>
          <w:sz w:val="32"/>
          <w:szCs w:val="32"/>
          <w:lang w:eastAsia="en-IN"/>
        </w:rPr>
        <w:t>epal</w:t>
      </w:r>
    </w:p>
    <w:p w14:paraId="5B8392AA" w14:textId="77777777" w:rsidR="0029066D" w:rsidRPr="00E367A2" w:rsidRDefault="00F32CCF" w:rsidP="0029066D">
      <w:pPr>
        <w:spacing w:before="120" w:after="0" w:line="276" w:lineRule="auto"/>
        <w:jc w:val="center"/>
        <w:outlineLvl w:val="2"/>
        <w:rPr>
          <w:rFonts w:ascii="Times New Roman" w:eastAsia="Times New Roman" w:hAnsi="Times New Roman" w:cs="Times New Roman"/>
          <w:b/>
          <w:bCs/>
          <w:sz w:val="20"/>
          <w:szCs w:val="20"/>
          <w:lang w:eastAsia="en-IN"/>
        </w:rPr>
      </w:pPr>
      <w:r w:rsidRPr="00E367A2">
        <w:rPr>
          <w:rFonts w:ascii="Times New Roman" w:eastAsia="Times New Roman" w:hAnsi="Times New Roman" w:cs="Times New Roman"/>
          <w:b/>
          <w:bCs/>
          <w:sz w:val="20"/>
          <w:szCs w:val="20"/>
          <w:lang w:eastAsia="en-IN"/>
        </w:rPr>
        <w:t>Dr.Rishikaysh Kaakandikar</w:t>
      </w:r>
      <w:r w:rsidRPr="00E367A2">
        <w:rPr>
          <w:rFonts w:ascii="Times New Roman" w:eastAsia="Times New Roman" w:hAnsi="Times New Roman" w:cs="Times New Roman"/>
          <w:b/>
          <w:bCs/>
          <w:sz w:val="20"/>
          <w:szCs w:val="20"/>
          <w:vertAlign w:val="superscript"/>
          <w:lang w:eastAsia="en-IN"/>
        </w:rPr>
        <w:t xml:space="preserve"> 1</w:t>
      </w:r>
      <w:r w:rsidR="0029066D" w:rsidRPr="00E367A2">
        <w:rPr>
          <w:rFonts w:ascii="Times New Roman" w:eastAsia="Times New Roman" w:hAnsi="Times New Roman" w:cs="Times New Roman"/>
          <w:b/>
          <w:bCs/>
          <w:sz w:val="20"/>
          <w:szCs w:val="20"/>
          <w:lang w:eastAsia="en-IN"/>
        </w:rPr>
        <w:t xml:space="preserve">, </w:t>
      </w:r>
      <w:r w:rsidR="0029066D" w:rsidRPr="00E367A2">
        <w:rPr>
          <w:rFonts w:ascii="Times New Roman" w:eastAsia="Times New Roman" w:hAnsi="Times New Roman" w:cs="Times New Roman"/>
          <w:b/>
          <w:bCs/>
          <w:sz w:val="20"/>
          <w:szCs w:val="20"/>
          <w:lang w:eastAsia="en-IN"/>
        </w:rPr>
        <w:t>Dr.Shital Newase</w:t>
      </w:r>
      <w:r w:rsidR="0029066D" w:rsidRPr="00E367A2">
        <w:rPr>
          <w:rFonts w:ascii="Times New Roman" w:eastAsia="Times New Roman" w:hAnsi="Times New Roman" w:cs="Times New Roman"/>
          <w:b/>
          <w:bCs/>
          <w:sz w:val="20"/>
          <w:szCs w:val="20"/>
          <w:vertAlign w:val="superscript"/>
          <w:lang w:eastAsia="en-IN"/>
        </w:rPr>
        <w:t>2</w:t>
      </w:r>
      <w:r w:rsidR="0029066D" w:rsidRPr="00E367A2">
        <w:rPr>
          <w:rFonts w:ascii="Times New Roman" w:eastAsia="Times New Roman" w:hAnsi="Times New Roman" w:cs="Times New Roman"/>
          <w:b/>
          <w:bCs/>
          <w:sz w:val="20"/>
          <w:szCs w:val="20"/>
          <w:lang w:eastAsia="en-IN"/>
        </w:rPr>
        <w:t xml:space="preserve">, </w:t>
      </w:r>
      <w:r w:rsidR="0029066D" w:rsidRPr="00E367A2">
        <w:rPr>
          <w:rFonts w:ascii="Times New Roman" w:eastAsia="Times New Roman" w:hAnsi="Times New Roman" w:cs="Times New Roman"/>
          <w:b/>
          <w:bCs/>
          <w:sz w:val="20"/>
          <w:szCs w:val="20"/>
          <w:lang w:eastAsia="en-IN"/>
        </w:rPr>
        <w:t>Miss. Kriti Karn</w:t>
      </w:r>
      <w:r w:rsidR="0029066D" w:rsidRPr="00E367A2">
        <w:rPr>
          <w:rFonts w:ascii="Times New Roman" w:eastAsia="Times New Roman" w:hAnsi="Times New Roman" w:cs="Times New Roman"/>
          <w:b/>
          <w:bCs/>
          <w:sz w:val="20"/>
          <w:szCs w:val="20"/>
          <w:vertAlign w:val="superscript"/>
          <w:lang w:eastAsia="en-IN"/>
        </w:rPr>
        <w:t xml:space="preserve">3  </w:t>
      </w:r>
    </w:p>
    <w:p w14:paraId="38E76354" w14:textId="01DD0F46" w:rsidR="00F32CCF" w:rsidRPr="00E367A2" w:rsidRDefault="0029066D" w:rsidP="0029066D">
      <w:pPr>
        <w:spacing w:after="0" w:line="240" w:lineRule="auto"/>
        <w:contextualSpacing/>
        <w:jc w:val="center"/>
        <w:outlineLvl w:val="2"/>
        <w:rPr>
          <w:rFonts w:ascii="Times New Roman" w:eastAsia="Times New Roman" w:hAnsi="Times New Roman" w:cs="Times New Roman"/>
          <w:sz w:val="20"/>
          <w:szCs w:val="20"/>
          <w:lang w:eastAsia="en-IN"/>
        </w:rPr>
      </w:pPr>
      <w:r w:rsidRPr="00E367A2">
        <w:rPr>
          <w:rFonts w:ascii="Times New Roman" w:eastAsia="Times New Roman" w:hAnsi="Times New Roman" w:cs="Times New Roman"/>
          <w:sz w:val="20"/>
          <w:szCs w:val="20"/>
          <w:vertAlign w:val="superscript"/>
          <w:lang w:eastAsia="en-IN"/>
        </w:rPr>
        <w:t>1</w:t>
      </w:r>
      <w:r w:rsidR="00F32CCF" w:rsidRPr="00E367A2">
        <w:rPr>
          <w:rFonts w:ascii="Times New Roman" w:eastAsia="Times New Roman" w:hAnsi="Times New Roman" w:cs="Times New Roman"/>
          <w:sz w:val="20"/>
          <w:szCs w:val="20"/>
          <w:lang w:eastAsia="en-IN"/>
        </w:rPr>
        <w:t>Associate Professor SaiBalaji International Institute of Management Sciences</w:t>
      </w:r>
      <w:r w:rsidRPr="00E367A2">
        <w:rPr>
          <w:rFonts w:ascii="Times New Roman" w:eastAsia="Times New Roman" w:hAnsi="Times New Roman" w:cs="Times New Roman"/>
          <w:sz w:val="20"/>
          <w:szCs w:val="20"/>
          <w:lang w:eastAsia="en-IN"/>
        </w:rPr>
        <w:t xml:space="preserve">, </w:t>
      </w:r>
      <w:r w:rsidR="00F32CCF" w:rsidRPr="00E367A2">
        <w:rPr>
          <w:rFonts w:ascii="Times New Roman" w:eastAsia="Times New Roman" w:hAnsi="Times New Roman" w:cs="Times New Roman"/>
          <w:sz w:val="20"/>
          <w:szCs w:val="20"/>
          <w:lang w:eastAsia="en-IN"/>
        </w:rPr>
        <w:t>Pune</w:t>
      </w:r>
    </w:p>
    <w:p w14:paraId="47208A2B" w14:textId="77B69648" w:rsidR="00B5273C" w:rsidRPr="00E367A2" w:rsidRDefault="0029066D" w:rsidP="0029066D">
      <w:pPr>
        <w:spacing w:after="0" w:line="240" w:lineRule="auto"/>
        <w:contextualSpacing/>
        <w:jc w:val="center"/>
        <w:outlineLvl w:val="2"/>
        <w:rPr>
          <w:rFonts w:ascii="Times New Roman" w:eastAsia="Times New Roman" w:hAnsi="Times New Roman" w:cs="Times New Roman"/>
          <w:sz w:val="20"/>
          <w:szCs w:val="20"/>
          <w:lang w:eastAsia="en-IN"/>
        </w:rPr>
      </w:pPr>
      <w:r w:rsidRPr="00E367A2">
        <w:rPr>
          <w:rFonts w:ascii="Times New Roman" w:eastAsia="Times New Roman" w:hAnsi="Times New Roman" w:cs="Times New Roman"/>
          <w:sz w:val="20"/>
          <w:szCs w:val="20"/>
          <w:vertAlign w:val="superscript"/>
          <w:lang w:eastAsia="en-IN"/>
        </w:rPr>
        <w:t>2</w:t>
      </w:r>
      <w:r w:rsidR="00B5273C" w:rsidRPr="00E367A2">
        <w:rPr>
          <w:rFonts w:ascii="Times New Roman" w:eastAsia="Times New Roman" w:hAnsi="Times New Roman" w:cs="Times New Roman"/>
          <w:sz w:val="20"/>
          <w:szCs w:val="20"/>
          <w:lang w:eastAsia="en-IN"/>
        </w:rPr>
        <w:t>Assistant Professor, International Institute of Management &amp; Human Resource</w:t>
      </w:r>
      <w:r w:rsidRPr="00E367A2">
        <w:rPr>
          <w:rFonts w:ascii="Times New Roman" w:eastAsia="Times New Roman" w:hAnsi="Times New Roman" w:cs="Times New Roman"/>
          <w:sz w:val="20"/>
          <w:szCs w:val="20"/>
          <w:lang w:eastAsia="en-IN"/>
        </w:rPr>
        <w:t xml:space="preserve"> </w:t>
      </w:r>
      <w:r w:rsidR="00B5273C" w:rsidRPr="00E367A2">
        <w:rPr>
          <w:rFonts w:ascii="Times New Roman" w:eastAsia="Times New Roman" w:hAnsi="Times New Roman" w:cs="Times New Roman"/>
          <w:sz w:val="20"/>
          <w:szCs w:val="20"/>
          <w:lang w:eastAsia="en-IN"/>
        </w:rPr>
        <w:t>Development (W), Pune</w:t>
      </w:r>
    </w:p>
    <w:p w14:paraId="5352B4B4" w14:textId="14E2BA32" w:rsidR="0025700B" w:rsidRPr="00E367A2" w:rsidRDefault="0029066D" w:rsidP="0029066D">
      <w:pPr>
        <w:pBdr>
          <w:bottom w:val="single" w:sz="6" w:space="1" w:color="auto"/>
        </w:pBdr>
        <w:spacing w:after="0" w:line="240" w:lineRule="auto"/>
        <w:contextualSpacing/>
        <w:jc w:val="center"/>
        <w:outlineLvl w:val="2"/>
        <w:rPr>
          <w:rFonts w:ascii="Times New Roman" w:eastAsia="Times New Roman" w:hAnsi="Times New Roman" w:cs="Times New Roman"/>
          <w:sz w:val="20"/>
          <w:szCs w:val="20"/>
          <w:lang w:eastAsia="en-IN"/>
        </w:rPr>
      </w:pPr>
      <w:r w:rsidRPr="00E367A2">
        <w:rPr>
          <w:rFonts w:ascii="Times New Roman" w:eastAsia="Times New Roman" w:hAnsi="Times New Roman" w:cs="Times New Roman"/>
          <w:sz w:val="20"/>
          <w:szCs w:val="20"/>
          <w:vertAlign w:val="superscript"/>
          <w:lang w:eastAsia="en-IN"/>
        </w:rPr>
        <w:t>3</w:t>
      </w:r>
      <w:r w:rsidR="0025700B" w:rsidRPr="00E367A2">
        <w:rPr>
          <w:rFonts w:ascii="Times New Roman" w:eastAsia="Times New Roman" w:hAnsi="Times New Roman" w:cs="Times New Roman"/>
          <w:sz w:val="20"/>
          <w:szCs w:val="20"/>
          <w:lang w:eastAsia="en-IN"/>
        </w:rPr>
        <w:t>BBA Student, SaiBalaji International Institute of Management Sciences</w:t>
      </w:r>
      <w:r w:rsidRPr="00E367A2">
        <w:rPr>
          <w:rFonts w:ascii="Times New Roman" w:eastAsia="Times New Roman" w:hAnsi="Times New Roman" w:cs="Times New Roman"/>
          <w:sz w:val="20"/>
          <w:szCs w:val="20"/>
          <w:lang w:eastAsia="en-IN"/>
        </w:rPr>
        <w:t>,</w:t>
      </w:r>
      <w:r w:rsidR="0025700B" w:rsidRPr="00E367A2">
        <w:rPr>
          <w:rFonts w:ascii="Times New Roman" w:eastAsia="Times New Roman" w:hAnsi="Times New Roman" w:cs="Times New Roman"/>
          <w:sz w:val="20"/>
          <w:szCs w:val="20"/>
          <w:lang w:eastAsia="en-IN"/>
        </w:rPr>
        <w:t>Pune</w:t>
      </w:r>
    </w:p>
    <w:p w14:paraId="245945B8" w14:textId="77777777" w:rsidR="00F32CCF" w:rsidRPr="00E367A2" w:rsidRDefault="00F32CCF" w:rsidP="0029066D">
      <w:pPr>
        <w:spacing w:before="120" w:after="0" w:line="276" w:lineRule="auto"/>
        <w:jc w:val="both"/>
        <w:outlineLvl w:val="2"/>
        <w:rPr>
          <w:rFonts w:ascii="Times New Roman" w:eastAsia="Times New Roman" w:hAnsi="Times New Roman" w:cs="Times New Roman"/>
          <w:b/>
          <w:bCs/>
          <w:sz w:val="20"/>
          <w:szCs w:val="20"/>
          <w:lang w:eastAsia="en-IN"/>
        </w:rPr>
        <w:sectPr w:rsidR="00F32CCF" w:rsidRPr="00E367A2" w:rsidSect="00A61429">
          <w:headerReference w:type="default" r:id="rId8"/>
          <w:footerReference w:type="default" r:id="rId9"/>
          <w:pgSz w:w="11906" w:h="16838" w:code="9"/>
          <w:pgMar w:top="1440" w:right="1440" w:bottom="1440" w:left="1440" w:header="576" w:footer="708" w:gutter="0"/>
          <w:pgNumType w:start="119"/>
          <w:cols w:space="708"/>
          <w:docGrid w:linePitch="360"/>
        </w:sectPr>
      </w:pPr>
    </w:p>
    <w:p w14:paraId="0C5AD668" w14:textId="6496F8BE" w:rsidR="00710529" w:rsidRPr="00E367A2" w:rsidRDefault="0025700B" w:rsidP="0029066D">
      <w:pPr>
        <w:spacing w:before="120" w:after="0" w:line="276" w:lineRule="auto"/>
        <w:jc w:val="both"/>
        <w:rPr>
          <w:rFonts w:ascii="Times New Roman" w:hAnsi="Times New Roman" w:cs="Times New Roman"/>
          <w:b/>
          <w:bCs/>
          <w:i/>
          <w:iCs/>
          <w:sz w:val="20"/>
          <w:szCs w:val="20"/>
        </w:rPr>
      </w:pPr>
      <w:r w:rsidRPr="00E367A2">
        <w:rPr>
          <w:rFonts w:ascii="Times New Roman" w:hAnsi="Times New Roman" w:cs="Times New Roman"/>
          <w:b/>
          <w:bCs/>
          <w:i/>
          <w:iCs/>
          <w:sz w:val="20"/>
          <w:szCs w:val="20"/>
        </w:rPr>
        <w:t>Abstract:</w:t>
      </w:r>
    </w:p>
    <w:p w14:paraId="509A1255" w14:textId="14A34503" w:rsidR="005C5C2E" w:rsidRPr="00E367A2" w:rsidRDefault="00CA4772" w:rsidP="0029066D">
      <w:pPr>
        <w:spacing w:before="120" w:after="0" w:line="276" w:lineRule="auto"/>
        <w:jc w:val="both"/>
        <w:rPr>
          <w:rFonts w:ascii="Times New Roman" w:hAnsi="Times New Roman" w:cs="Times New Roman"/>
          <w:bCs/>
          <w:i/>
          <w:iCs/>
          <w:sz w:val="20"/>
          <w:szCs w:val="20"/>
        </w:rPr>
      </w:pPr>
      <w:r w:rsidRPr="00E367A2">
        <w:rPr>
          <w:rFonts w:ascii="Times New Roman" w:hAnsi="Times New Roman" w:cs="Times New Roman"/>
          <w:bCs/>
          <w:i/>
          <w:iCs/>
          <w:sz w:val="20"/>
          <w:szCs w:val="20"/>
        </w:rPr>
        <w:t>Financial literacy is an essential competency in contemporary intricate financial frameworks, affecting the way people save, spend, borrow, and buy. In the case of urban young people in Nepal, increasing the exposure to online banking and investment websites generates opportunities, as well as threats. This paper discusses the correlation between financial literacy and the investment behaviour among the urban youth in Nepal. It targets their demographics, financial attitudes, their investment decisions and their financial information sources. The results are expected to demonstrate the influence of financial literacy on investment behaviour and to give indications on policies and interventions to support financial inclusion and financial resiliency.</w:t>
      </w:r>
    </w:p>
    <w:p w14:paraId="41BED2B1" w14:textId="4F001107" w:rsidR="00710529" w:rsidRPr="00E367A2" w:rsidRDefault="00710529" w:rsidP="0029066D">
      <w:pPr>
        <w:pBdr>
          <w:bottom w:val="single" w:sz="6" w:space="1" w:color="auto"/>
        </w:pBdr>
        <w:spacing w:before="120" w:after="0" w:line="276" w:lineRule="auto"/>
        <w:jc w:val="both"/>
        <w:rPr>
          <w:rFonts w:ascii="Times New Roman" w:hAnsi="Times New Roman" w:cs="Times New Roman"/>
          <w:i/>
          <w:iCs/>
          <w:sz w:val="20"/>
          <w:szCs w:val="20"/>
        </w:rPr>
      </w:pPr>
      <w:r w:rsidRPr="00E367A2">
        <w:rPr>
          <w:rFonts w:ascii="Times New Roman" w:hAnsi="Times New Roman" w:cs="Times New Roman"/>
          <w:b/>
          <w:bCs/>
          <w:i/>
          <w:iCs/>
          <w:sz w:val="20"/>
          <w:szCs w:val="20"/>
        </w:rPr>
        <w:t>Keywords:</w:t>
      </w:r>
      <w:r w:rsidRPr="00E367A2">
        <w:rPr>
          <w:rFonts w:ascii="Times New Roman" w:hAnsi="Times New Roman" w:cs="Times New Roman"/>
          <w:i/>
          <w:iCs/>
          <w:sz w:val="20"/>
          <w:szCs w:val="20"/>
        </w:rPr>
        <w:t xml:space="preserve"> Financial literacy, Investment behavio</w:t>
      </w:r>
      <w:r w:rsidR="00EF3E8D" w:rsidRPr="00E367A2">
        <w:rPr>
          <w:rFonts w:ascii="Times New Roman" w:hAnsi="Times New Roman" w:cs="Times New Roman"/>
          <w:i/>
          <w:iCs/>
          <w:sz w:val="20"/>
          <w:szCs w:val="20"/>
        </w:rPr>
        <w:t>u</w:t>
      </w:r>
      <w:r w:rsidRPr="00E367A2">
        <w:rPr>
          <w:rFonts w:ascii="Times New Roman" w:hAnsi="Times New Roman" w:cs="Times New Roman"/>
          <w:i/>
          <w:iCs/>
          <w:sz w:val="20"/>
          <w:szCs w:val="20"/>
        </w:rPr>
        <w:t>r, Urban youth, Nepal, Financial knowledge</w:t>
      </w:r>
    </w:p>
    <w:p w14:paraId="43BC2F73"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41B47676" w14:textId="3C5C9633" w:rsidR="00710529" w:rsidRPr="00E367A2" w:rsidRDefault="001E519E"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Introduction:</w:t>
      </w:r>
    </w:p>
    <w:p w14:paraId="2605A2D2" w14:textId="65997CC5" w:rsidR="00CA4772" w:rsidRPr="00E367A2" w:rsidRDefault="00CA477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Financial literacy has become a vital life skill in recent years, as individuals are more and more exposed to more complex economic and financial systems. It involves the knowledge, skills and attitudes that one needs to make informed decisions about saving, spending, borrowing, and investing. In the case of young people</w:t>
      </w:r>
      <w:r w:rsidR="00995184" w:rsidRPr="00E367A2">
        <w:rPr>
          <w:rFonts w:ascii="Times New Roman" w:hAnsi="Times New Roman" w:cs="Times New Roman"/>
          <w:sz w:val="20"/>
          <w:szCs w:val="20"/>
        </w:rPr>
        <w:t>,</w:t>
      </w:r>
      <w:r w:rsidRPr="00E367A2">
        <w:rPr>
          <w:rFonts w:ascii="Times New Roman" w:hAnsi="Times New Roman" w:cs="Times New Roman"/>
          <w:sz w:val="20"/>
          <w:szCs w:val="20"/>
        </w:rPr>
        <w:t xml:space="preserve"> especially in urban areas, financial literacy is a key determinant of future financial stability, career and wealth creation. The significance of financial literacy among the youth cannot be </w:t>
      </w:r>
      <w:r w:rsidR="00995184" w:rsidRPr="00E367A2">
        <w:rPr>
          <w:rFonts w:ascii="Times New Roman" w:hAnsi="Times New Roman" w:cs="Times New Roman"/>
          <w:sz w:val="20"/>
          <w:szCs w:val="20"/>
        </w:rPr>
        <w:t>overemphasised</w:t>
      </w:r>
      <w:r w:rsidRPr="00E367A2">
        <w:rPr>
          <w:rFonts w:ascii="Times New Roman" w:hAnsi="Times New Roman" w:cs="Times New Roman"/>
          <w:sz w:val="20"/>
          <w:szCs w:val="20"/>
        </w:rPr>
        <w:t xml:space="preserve"> in developing nations such as Nepal</w:t>
      </w:r>
      <w:r w:rsidR="00995184" w:rsidRPr="00E367A2">
        <w:rPr>
          <w:rFonts w:ascii="Times New Roman" w:hAnsi="Times New Roman" w:cs="Times New Roman"/>
          <w:sz w:val="20"/>
          <w:szCs w:val="20"/>
        </w:rPr>
        <w:t>,</w:t>
      </w:r>
      <w:r w:rsidRPr="00E367A2">
        <w:rPr>
          <w:rFonts w:ascii="Times New Roman" w:hAnsi="Times New Roman" w:cs="Times New Roman"/>
          <w:sz w:val="20"/>
          <w:szCs w:val="20"/>
        </w:rPr>
        <w:t xml:space="preserve"> where access to digital financial services is growing at a rather fast pace, and financial markets are still maturing.</w:t>
      </w:r>
    </w:p>
    <w:p w14:paraId="41440E4F" w14:textId="62916DF0" w:rsidR="00CA4772" w:rsidRPr="00E367A2" w:rsidRDefault="00CA477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youth in Nepal are an active population group in urban areas, with increased levels of education, access to information flows across the globe and increased activities in banking and investment products. As mobile banking, digital wallets and access to investment platforms </w:t>
      </w:r>
      <w:r w:rsidR="00995184" w:rsidRPr="00E367A2">
        <w:rPr>
          <w:rFonts w:ascii="Times New Roman" w:hAnsi="Times New Roman" w:cs="Times New Roman"/>
          <w:sz w:val="20"/>
          <w:szCs w:val="20"/>
        </w:rPr>
        <w:t>become</w:t>
      </w:r>
      <w:r w:rsidRPr="00E367A2">
        <w:rPr>
          <w:rFonts w:ascii="Times New Roman" w:hAnsi="Times New Roman" w:cs="Times New Roman"/>
          <w:sz w:val="20"/>
          <w:szCs w:val="20"/>
        </w:rPr>
        <w:t xml:space="preserve"> more popular than ever, the youth of today have opportunities as well as threats when it comes to personal finance management. Nevertheless, their financial literacy levels also play a very big role in the way they save and invest. Financial illiteracy may result in making bad financial decisions, </w:t>
      </w:r>
      <w:r w:rsidRPr="00E367A2">
        <w:rPr>
          <w:rFonts w:ascii="Times New Roman" w:hAnsi="Times New Roman" w:cs="Times New Roman"/>
          <w:sz w:val="20"/>
          <w:szCs w:val="20"/>
        </w:rPr>
        <w:t>excessive use of debt, or falling prey to financial fraud, whereas financial literacy may result in good financial decisions, diversification, and financial autonomy.</w:t>
      </w:r>
    </w:p>
    <w:p w14:paraId="6AE5B321" w14:textId="1DE14179" w:rsidR="00CA4772" w:rsidRPr="00E367A2" w:rsidRDefault="00CA477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cultural values, peer influence, risk perceptions and financial products awareness (savings account, insurance, stock market and mutual fund) tend to influence investment </w:t>
      </w:r>
      <w:r w:rsidR="00995184" w:rsidRPr="00E367A2">
        <w:rPr>
          <w:rFonts w:ascii="Times New Roman" w:hAnsi="Times New Roman" w:cs="Times New Roman"/>
          <w:sz w:val="20"/>
          <w:szCs w:val="20"/>
        </w:rPr>
        <w:t>behaviour</w:t>
      </w:r>
      <w:r w:rsidRPr="00E367A2">
        <w:rPr>
          <w:rFonts w:ascii="Times New Roman" w:hAnsi="Times New Roman" w:cs="Times New Roman"/>
          <w:sz w:val="20"/>
          <w:szCs w:val="20"/>
        </w:rPr>
        <w:t xml:space="preserve"> among the Nepalese youth. Although there is a promise of financial activities among the young people in the urban setting, the empirical evidence indicates the existence of gaps in financial literacy. The next key issue is to understand how knowledge, attitudes, and confidence will be transformed into real investment decisions</w:t>
      </w:r>
      <w:r w:rsidR="00995184" w:rsidRPr="00E367A2">
        <w:rPr>
          <w:rFonts w:ascii="Times New Roman" w:hAnsi="Times New Roman" w:cs="Times New Roman"/>
          <w:sz w:val="20"/>
          <w:szCs w:val="20"/>
        </w:rPr>
        <w:t>,</w:t>
      </w:r>
      <w:r w:rsidRPr="00E367A2">
        <w:rPr>
          <w:rFonts w:ascii="Times New Roman" w:hAnsi="Times New Roman" w:cs="Times New Roman"/>
          <w:sz w:val="20"/>
          <w:szCs w:val="20"/>
        </w:rPr>
        <w:t xml:space="preserve"> and hence</w:t>
      </w:r>
      <w:r w:rsidR="00995184" w:rsidRPr="00E367A2">
        <w:rPr>
          <w:rFonts w:ascii="Times New Roman" w:hAnsi="Times New Roman" w:cs="Times New Roman"/>
          <w:sz w:val="20"/>
          <w:szCs w:val="20"/>
        </w:rPr>
        <w:t>,</w:t>
      </w:r>
      <w:r w:rsidRPr="00E367A2">
        <w:rPr>
          <w:rFonts w:ascii="Times New Roman" w:hAnsi="Times New Roman" w:cs="Times New Roman"/>
          <w:sz w:val="20"/>
          <w:szCs w:val="20"/>
        </w:rPr>
        <w:t xml:space="preserve"> the role of policymakers, financial institutions</w:t>
      </w:r>
      <w:r w:rsidR="00995184" w:rsidRPr="00E367A2">
        <w:rPr>
          <w:rFonts w:ascii="Times New Roman" w:hAnsi="Times New Roman" w:cs="Times New Roman"/>
          <w:sz w:val="20"/>
          <w:szCs w:val="20"/>
        </w:rPr>
        <w:t>,</w:t>
      </w:r>
      <w:r w:rsidRPr="00E367A2">
        <w:rPr>
          <w:rFonts w:ascii="Times New Roman" w:hAnsi="Times New Roman" w:cs="Times New Roman"/>
          <w:sz w:val="20"/>
          <w:szCs w:val="20"/>
        </w:rPr>
        <w:t xml:space="preserve"> and educators is paramount.</w:t>
      </w:r>
    </w:p>
    <w:p w14:paraId="5A675FF9" w14:textId="4FB97D3D" w:rsidR="00CA4772" w:rsidRPr="00E367A2" w:rsidRDefault="00CA477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It is against this backdrop that the research on financial literacy and investment behaviour among the youth in the urban Nepalese communities becomes very relevant. Not only does it illuminate the readiness of young people to invest in their financial future, but </w:t>
      </w:r>
      <w:r w:rsidR="00995184" w:rsidRPr="00E367A2">
        <w:rPr>
          <w:rFonts w:ascii="Times New Roman" w:hAnsi="Times New Roman" w:cs="Times New Roman"/>
          <w:sz w:val="20"/>
          <w:szCs w:val="20"/>
        </w:rPr>
        <w:t xml:space="preserve">it </w:t>
      </w:r>
      <w:r w:rsidRPr="00E367A2">
        <w:rPr>
          <w:rFonts w:ascii="Times New Roman" w:hAnsi="Times New Roman" w:cs="Times New Roman"/>
          <w:sz w:val="20"/>
          <w:szCs w:val="20"/>
        </w:rPr>
        <w:t>also gives information on ways financial education programs and policy interventions might be tailored to build a more financially inclusive and inclusive Nepali economy.</w:t>
      </w:r>
    </w:p>
    <w:p w14:paraId="59583949" w14:textId="77777777" w:rsidR="00A61429" w:rsidRDefault="00A61429" w:rsidP="0029066D">
      <w:pPr>
        <w:spacing w:before="120" w:after="0" w:line="276" w:lineRule="auto"/>
        <w:jc w:val="both"/>
        <w:rPr>
          <w:rFonts w:ascii="Times New Roman" w:hAnsi="Times New Roman" w:cs="Times New Roman"/>
          <w:b/>
          <w:bCs/>
          <w:sz w:val="20"/>
          <w:szCs w:val="20"/>
        </w:rPr>
      </w:pPr>
    </w:p>
    <w:p w14:paraId="4EA6A975" w14:textId="77777777" w:rsidR="00A61429" w:rsidRDefault="00A61429" w:rsidP="0029066D">
      <w:pPr>
        <w:spacing w:before="120" w:after="0" w:line="276" w:lineRule="auto"/>
        <w:jc w:val="both"/>
        <w:rPr>
          <w:rFonts w:ascii="Times New Roman" w:hAnsi="Times New Roman" w:cs="Times New Roman"/>
          <w:b/>
          <w:bCs/>
          <w:sz w:val="20"/>
          <w:szCs w:val="20"/>
        </w:rPr>
      </w:pPr>
    </w:p>
    <w:p w14:paraId="30403020" w14:textId="289A9DDB" w:rsidR="00856133" w:rsidRPr="00E367A2" w:rsidRDefault="00653E3D"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lastRenderedPageBreak/>
        <w:t>Objectives of the Study</w:t>
      </w:r>
    </w:p>
    <w:p w14:paraId="7A37934B" w14:textId="3082640E" w:rsidR="00856133" w:rsidRPr="00E367A2" w:rsidRDefault="00856133" w:rsidP="00A61429">
      <w:pPr>
        <w:pStyle w:val="ListParagraph"/>
        <w:numPr>
          <w:ilvl w:val="0"/>
          <w:numId w:val="5"/>
        </w:numPr>
        <w:spacing w:before="120" w:after="0" w:line="276" w:lineRule="auto"/>
        <w:ind w:left="360"/>
        <w:jc w:val="both"/>
        <w:rPr>
          <w:rFonts w:ascii="Times New Roman" w:hAnsi="Times New Roman" w:cs="Times New Roman"/>
          <w:sz w:val="20"/>
          <w:szCs w:val="20"/>
        </w:rPr>
      </w:pPr>
      <w:r w:rsidRPr="00E367A2">
        <w:rPr>
          <w:rFonts w:ascii="Times New Roman" w:hAnsi="Times New Roman" w:cs="Times New Roman"/>
          <w:sz w:val="20"/>
          <w:szCs w:val="20"/>
        </w:rPr>
        <w:t xml:space="preserve">To examine the demographic profile of urban youth in Nepal and its influence on financial </w:t>
      </w:r>
      <w:r w:rsidR="00A12FEA" w:rsidRPr="00E367A2">
        <w:rPr>
          <w:rFonts w:ascii="Times New Roman" w:hAnsi="Times New Roman" w:cs="Times New Roman"/>
          <w:sz w:val="20"/>
          <w:szCs w:val="20"/>
        </w:rPr>
        <w:t>behaviour</w:t>
      </w:r>
      <w:r w:rsidRPr="00E367A2">
        <w:rPr>
          <w:rFonts w:ascii="Times New Roman" w:hAnsi="Times New Roman" w:cs="Times New Roman"/>
          <w:sz w:val="20"/>
          <w:szCs w:val="20"/>
        </w:rPr>
        <w:t>.</w:t>
      </w:r>
    </w:p>
    <w:p w14:paraId="411A9DC8" w14:textId="77777777" w:rsidR="00856133" w:rsidRPr="00E367A2" w:rsidRDefault="00856133" w:rsidP="00A61429">
      <w:pPr>
        <w:pStyle w:val="ListParagraph"/>
        <w:numPr>
          <w:ilvl w:val="0"/>
          <w:numId w:val="5"/>
        </w:numPr>
        <w:spacing w:before="120" w:after="0" w:line="276" w:lineRule="auto"/>
        <w:ind w:left="360"/>
        <w:jc w:val="both"/>
        <w:rPr>
          <w:rFonts w:ascii="Times New Roman" w:hAnsi="Times New Roman" w:cs="Times New Roman"/>
          <w:sz w:val="20"/>
          <w:szCs w:val="20"/>
        </w:rPr>
      </w:pPr>
      <w:r w:rsidRPr="00E367A2">
        <w:rPr>
          <w:rFonts w:ascii="Times New Roman" w:hAnsi="Times New Roman" w:cs="Times New Roman"/>
          <w:sz w:val="20"/>
          <w:szCs w:val="20"/>
        </w:rPr>
        <w:t>To assess the level of financial literacy and knowledge among youth.</w:t>
      </w:r>
    </w:p>
    <w:p w14:paraId="3523CD1C" w14:textId="07450ACA" w:rsidR="00856133" w:rsidRPr="00E367A2" w:rsidRDefault="00856133" w:rsidP="00A61429">
      <w:pPr>
        <w:pStyle w:val="ListParagraph"/>
        <w:numPr>
          <w:ilvl w:val="0"/>
          <w:numId w:val="5"/>
        </w:numPr>
        <w:spacing w:before="120" w:after="0" w:line="276" w:lineRule="auto"/>
        <w:ind w:left="360"/>
        <w:jc w:val="both"/>
        <w:rPr>
          <w:rFonts w:ascii="Times New Roman" w:hAnsi="Times New Roman" w:cs="Times New Roman"/>
          <w:sz w:val="20"/>
          <w:szCs w:val="20"/>
        </w:rPr>
      </w:pPr>
      <w:r w:rsidRPr="00E367A2">
        <w:rPr>
          <w:rFonts w:ascii="Times New Roman" w:hAnsi="Times New Roman" w:cs="Times New Roman"/>
          <w:sz w:val="20"/>
          <w:szCs w:val="20"/>
        </w:rPr>
        <w:t xml:space="preserve">To </w:t>
      </w:r>
      <w:r w:rsidR="00B94A17" w:rsidRPr="00E367A2">
        <w:rPr>
          <w:rFonts w:ascii="Times New Roman" w:hAnsi="Times New Roman" w:cs="Times New Roman"/>
          <w:sz w:val="20"/>
          <w:szCs w:val="20"/>
        </w:rPr>
        <w:t>analyse</w:t>
      </w:r>
      <w:r w:rsidRPr="00E367A2">
        <w:rPr>
          <w:rFonts w:ascii="Times New Roman" w:hAnsi="Times New Roman" w:cs="Times New Roman"/>
          <w:sz w:val="20"/>
          <w:szCs w:val="20"/>
        </w:rPr>
        <w:t xml:space="preserve"> the investment </w:t>
      </w:r>
      <w:r w:rsidR="00B94A17" w:rsidRPr="00E367A2">
        <w:rPr>
          <w:rFonts w:ascii="Times New Roman" w:hAnsi="Times New Roman" w:cs="Times New Roman"/>
          <w:sz w:val="20"/>
          <w:szCs w:val="20"/>
        </w:rPr>
        <w:t>behaviour</w:t>
      </w:r>
      <w:r w:rsidRPr="00E367A2">
        <w:rPr>
          <w:rFonts w:ascii="Times New Roman" w:hAnsi="Times New Roman" w:cs="Times New Roman"/>
          <w:sz w:val="20"/>
          <w:szCs w:val="20"/>
        </w:rPr>
        <w:t xml:space="preserve"> and attitudes of urban youth towards finance.</w:t>
      </w:r>
    </w:p>
    <w:p w14:paraId="5E2EBF15" w14:textId="20827A45" w:rsidR="00B94A17" w:rsidRPr="00E367A2" w:rsidRDefault="00856133" w:rsidP="00A61429">
      <w:pPr>
        <w:pStyle w:val="ListParagraph"/>
        <w:numPr>
          <w:ilvl w:val="0"/>
          <w:numId w:val="5"/>
        </w:numPr>
        <w:spacing w:before="120" w:after="0" w:line="276" w:lineRule="auto"/>
        <w:ind w:left="360"/>
        <w:jc w:val="both"/>
        <w:rPr>
          <w:rFonts w:ascii="Times New Roman" w:hAnsi="Times New Roman" w:cs="Times New Roman"/>
          <w:sz w:val="20"/>
          <w:szCs w:val="20"/>
        </w:rPr>
      </w:pPr>
      <w:r w:rsidRPr="00E367A2">
        <w:rPr>
          <w:rFonts w:ascii="Times New Roman" w:hAnsi="Times New Roman" w:cs="Times New Roman"/>
          <w:sz w:val="20"/>
          <w:szCs w:val="20"/>
        </w:rPr>
        <w:t>To identify key sources of financial information influencing their decisions.</w:t>
      </w:r>
    </w:p>
    <w:p w14:paraId="45E9EDFE" w14:textId="2CF7BE31" w:rsidR="00B94A17" w:rsidRPr="00E367A2" w:rsidRDefault="00B94A17"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Hypothesis:</w:t>
      </w:r>
    </w:p>
    <w:p w14:paraId="6690D1E1" w14:textId="6A031FEC"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sz w:val="20"/>
          <w:szCs w:val="20"/>
        </w:rPr>
        <w:t>Hypothesis No. 1</w:t>
      </w:r>
    </w:p>
    <w:p w14:paraId="59F8356E" w14:textId="658CD33E"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Null Hypothesis (H</w:t>
      </w:r>
      <w:r w:rsidRPr="00E367A2">
        <w:rPr>
          <w:rFonts w:ascii="Times New Roman" w:hAnsi="Times New Roman" w:cs="Times New Roman"/>
          <w:sz w:val="20"/>
          <w:szCs w:val="20"/>
          <w:vertAlign w:val="subscript"/>
        </w:rPr>
        <w:t>0</w:t>
      </w:r>
      <w:r w:rsidRPr="00E367A2">
        <w:rPr>
          <w:rStyle w:val="vlist-s"/>
          <w:rFonts w:ascii="Times New Roman" w:hAnsi="Times New Roman" w:cs="Times New Roman"/>
          <w:sz w:val="20"/>
          <w:szCs w:val="20"/>
          <w:vertAlign w:val="subscript"/>
        </w:rPr>
        <w:t>​</w:t>
      </w:r>
      <w:r w:rsidRPr="00E367A2">
        <w:rPr>
          <w:rFonts w:ascii="Times New Roman" w:hAnsi="Times New Roman" w:cs="Times New Roman"/>
          <w:sz w:val="20"/>
          <w:szCs w:val="20"/>
        </w:rPr>
        <w:t>)</w:t>
      </w:r>
    </w:p>
    <w:p w14:paraId="40FD7F68" w14:textId="6DEDC1DF"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There is no positive correlation between the demographic profile (higher educational attainment and higher income) of urban youth in Nepal and more responsible and proactive financial behaviour.</w:t>
      </w:r>
    </w:p>
    <w:p w14:paraId="322055AB" w14:textId="6C90C1C3"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Alternative Hypothesis (Ha)</w:t>
      </w:r>
    </w:p>
    <w:p w14:paraId="79BF5F06" w14:textId="39DBC203" w:rsidR="00856133"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 demographic profile (specifically, higher educational attainment and higher income) of urban youth in Nepal is positively correlated with more responsible and proactive financial behaviour.</w:t>
      </w:r>
    </w:p>
    <w:p w14:paraId="31321766" w14:textId="1E581C9F" w:rsidR="00B94A17" w:rsidRPr="00E367A2" w:rsidRDefault="00B94A17"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Hypothesis No.2</w:t>
      </w:r>
    </w:p>
    <w:p w14:paraId="42EAC1C4" w14:textId="77777777" w:rsidR="007D1BD2" w:rsidRPr="00E367A2" w:rsidRDefault="007D1BD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Null Hypothesis (H</w:t>
      </w:r>
      <w:r w:rsidRPr="00E367A2">
        <w:rPr>
          <w:rFonts w:ascii="Times New Roman" w:hAnsi="Times New Roman" w:cs="Times New Roman"/>
          <w:sz w:val="20"/>
          <w:szCs w:val="20"/>
          <w:vertAlign w:val="subscript"/>
        </w:rPr>
        <w:t>0</w:t>
      </w:r>
      <w:r w:rsidRPr="00E367A2">
        <w:rPr>
          <w:rFonts w:ascii="Times New Roman" w:hAnsi="Times New Roman" w:cs="Times New Roman"/>
          <w:sz w:val="20"/>
          <w:szCs w:val="20"/>
        </w:rPr>
        <w:t>​)</w:t>
      </w:r>
    </w:p>
    <w:p w14:paraId="55898845" w14:textId="321D50F0" w:rsidR="007D1BD2" w:rsidRPr="00E367A2" w:rsidRDefault="007D1BD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There is no significant association between the level of financial literacy and knowledge among urban youth in Nepal and their investment behaviour (risk tolerance/diversification) or </w:t>
      </w:r>
      <w:r w:rsidR="0025700B" w:rsidRPr="00E367A2">
        <w:rPr>
          <w:rFonts w:ascii="Times New Roman" w:hAnsi="Times New Roman" w:cs="Times New Roman"/>
          <w:sz w:val="20"/>
          <w:szCs w:val="20"/>
        </w:rPr>
        <w:t xml:space="preserve">thei </w:t>
      </w:r>
      <w:r w:rsidRPr="00E367A2">
        <w:rPr>
          <w:rFonts w:ascii="Times New Roman" w:hAnsi="Times New Roman" w:cs="Times New Roman"/>
          <w:sz w:val="20"/>
          <w:szCs w:val="20"/>
        </w:rPr>
        <w:t xml:space="preserve">reliance on formal financial institutions for information. </w:t>
      </w:r>
    </w:p>
    <w:p w14:paraId="1558A3E5" w14:textId="755CF9D2" w:rsidR="007D1BD2" w:rsidRPr="00E367A2" w:rsidRDefault="0025700B"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 </w:t>
      </w:r>
      <w:r w:rsidR="007D1BD2" w:rsidRPr="00E367A2">
        <w:rPr>
          <w:rFonts w:ascii="Times New Roman" w:hAnsi="Times New Roman" w:cs="Times New Roman"/>
          <w:sz w:val="20"/>
          <w:szCs w:val="20"/>
        </w:rPr>
        <w:t>Alternate Hypothesis (Ha​)</w:t>
      </w:r>
    </w:p>
    <w:p w14:paraId="7D531E61" w14:textId="2EEC8017" w:rsidR="007D1BD2" w:rsidRPr="00E367A2" w:rsidRDefault="007D1BD2"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A higher level of financial literacy and knowledge among urban youth in Nepal is positively and significantly associated with more diversified and risk-tolerant investment behaviour and a greater reliance on formal financial institutions and educational resources for financial information.</w:t>
      </w:r>
    </w:p>
    <w:p w14:paraId="7E853A90" w14:textId="77777777" w:rsidR="0094320A" w:rsidRPr="00E367A2" w:rsidRDefault="0094320A" w:rsidP="0029066D">
      <w:pPr>
        <w:spacing w:before="120" w:after="0" w:line="276" w:lineRule="auto"/>
        <w:jc w:val="both"/>
        <w:rPr>
          <w:rFonts w:ascii="Times New Roman" w:hAnsi="Times New Roman" w:cs="Times New Roman"/>
          <w:b/>
          <w:bCs/>
          <w:sz w:val="20"/>
          <w:szCs w:val="20"/>
        </w:rPr>
        <w:sectPr w:rsidR="0094320A" w:rsidRPr="00E367A2" w:rsidSect="00A61429">
          <w:type w:val="continuous"/>
          <w:pgSz w:w="11906" w:h="16838" w:code="9"/>
          <w:pgMar w:top="1440" w:right="1440" w:bottom="1440" w:left="1440" w:header="576" w:footer="708" w:gutter="0"/>
          <w:cols w:num="2" w:space="708"/>
          <w:docGrid w:linePitch="360"/>
        </w:sectPr>
      </w:pPr>
    </w:p>
    <w:p w14:paraId="0B8E7D8C" w14:textId="7302C252" w:rsidR="00F65F68" w:rsidRPr="00E367A2" w:rsidRDefault="0094320A"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 xml:space="preserve"> Review of Literature</w:t>
      </w:r>
    </w:p>
    <w:p w14:paraId="5C048073" w14:textId="77777777" w:rsidR="0029066D" w:rsidRPr="00E367A2" w:rsidRDefault="0029066D" w:rsidP="0029066D">
      <w:pPr>
        <w:spacing w:before="120" w:after="0" w:line="276" w:lineRule="auto"/>
        <w:jc w:val="both"/>
        <w:rPr>
          <w:rFonts w:ascii="Times New Roman" w:hAnsi="Times New Roman" w:cs="Times New Roman"/>
          <w:b/>
          <w:bCs/>
          <w:sz w:val="20"/>
          <w:szCs w:val="20"/>
        </w:rPr>
      </w:pPr>
    </w:p>
    <w:p w14:paraId="03209E6F" w14:textId="7EEE48ED" w:rsidR="00856133" w:rsidRPr="00E367A2" w:rsidRDefault="00856133" w:rsidP="0029066D">
      <w:pPr>
        <w:spacing w:before="120" w:after="0" w:line="276" w:lineRule="auto"/>
        <w:jc w:val="both"/>
        <w:rPr>
          <w:rFonts w:ascii="Times New Roman" w:hAnsi="Times New Roman" w:cs="Times New Roman"/>
          <w:b/>
          <w:bCs/>
          <w:sz w:val="20"/>
          <w:szCs w:val="20"/>
        </w:rPr>
      </w:pPr>
    </w:p>
    <w:tbl>
      <w:tblPr>
        <w:tblStyle w:val="TableGrid"/>
        <w:tblpPr w:leftFromText="180" w:rightFromText="180" w:vertAnchor="text" w:horzAnchor="page" w:tblpXSpec="center" w:tblpY="-479"/>
        <w:tblW w:w="8926" w:type="dxa"/>
        <w:tblLook w:val="04A0" w:firstRow="1" w:lastRow="0" w:firstColumn="1" w:lastColumn="0" w:noHBand="0" w:noVBand="1"/>
      </w:tblPr>
      <w:tblGrid>
        <w:gridCol w:w="1322"/>
        <w:gridCol w:w="2164"/>
        <w:gridCol w:w="2755"/>
        <w:gridCol w:w="2685"/>
      </w:tblGrid>
      <w:tr w:rsidR="00E367A2" w:rsidRPr="00E367A2" w14:paraId="6C20E9C3" w14:textId="77777777" w:rsidTr="0029066D">
        <w:trPr>
          <w:trHeight w:val="502"/>
        </w:trPr>
        <w:tc>
          <w:tcPr>
            <w:tcW w:w="1322" w:type="dxa"/>
            <w:vAlign w:val="center"/>
          </w:tcPr>
          <w:p w14:paraId="7FEAC603"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lastRenderedPageBreak/>
              <w:t>Author(s), Year</w:t>
            </w:r>
          </w:p>
        </w:tc>
        <w:tc>
          <w:tcPr>
            <w:tcW w:w="2164" w:type="dxa"/>
            <w:vAlign w:val="center"/>
          </w:tcPr>
          <w:p w14:paraId="6CBB4D95"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Focus of Study</w:t>
            </w:r>
          </w:p>
        </w:tc>
        <w:tc>
          <w:tcPr>
            <w:tcW w:w="2755" w:type="dxa"/>
            <w:vAlign w:val="center"/>
          </w:tcPr>
          <w:p w14:paraId="689C4DEE"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Key Findings</w:t>
            </w:r>
          </w:p>
        </w:tc>
        <w:tc>
          <w:tcPr>
            <w:tcW w:w="2685" w:type="dxa"/>
            <w:vAlign w:val="center"/>
          </w:tcPr>
          <w:p w14:paraId="4F668697" w14:textId="10B2BC3B"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 xml:space="preserve">Relevance to </w:t>
            </w:r>
            <w:r w:rsidR="00F15C92" w:rsidRPr="00E367A2">
              <w:rPr>
                <w:rFonts w:ascii="Times New Roman" w:hAnsi="Times New Roman" w:cs="Times New Roman"/>
                <w:b/>
                <w:bCs/>
                <w:sz w:val="20"/>
                <w:szCs w:val="20"/>
              </w:rPr>
              <w:t xml:space="preserve">the </w:t>
            </w:r>
            <w:r w:rsidRPr="00E367A2">
              <w:rPr>
                <w:rFonts w:ascii="Times New Roman" w:hAnsi="Times New Roman" w:cs="Times New Roman"/>
                <w:b/>
                <w:bCs/>
                <w:sz w:val="20"/>
                <w:szCs w:val="20"/>
              </w:rPr>
              <w:t>Present Study</w:t>
            </w:r>
          </w:p>
        </w:tc>
      </w:tr>
      <w:tr w:rsidR="00E367A2" w:rsidRPr="00E367A2" w14:paraId="0D3D81A1" w14:textId="77777777" w:rsidTr="0029066D">
        <w:trPr>
          <w:trHeight w:val="965"/>
        </w:trPr>
        <w:tc>
          <w:tcPr>
            <w:tcW w:w="1322" w:type="dxa"/>
            <w:vAlign w:val="center"/>
          </w:tcPr>
          <w:p w14:paraId="45B4C7DD"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Lusardi &amp; Mitchell (2014)</w:t>
            </w:r>
          </w:p>
        </w:tc>
        <w:tc>
          <w:tcPr>
            <w:tcW w:w="2164" w:type="dxa"/>
            <w:vAlign w:val="center"/>
          </w:tcPr>
          <w:p w14:paraId="43644406"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Global financial literacy and retirement planning</w:t>
            </w:r>
          </w:p>
        </w:tc>
        <w:tc>
          <w:tcPr>
            <w:tcW w:w="2755" w:type="dxa"/>
            <w:vAlign w:val="center"/>
          </w:tcPr>
          <w:p w14:paraId="789272B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improves saving and investment outcomes, reduces vulnerability.</w:t>
            </w:r>
          </w:p>
        </w:tc>
        <w:tc>
          <w:tcPr>
            <w:tcW w:w="2685" w:type="dxa"/>
            <w:vAlign w:val="center"/>
          </w:tcPr>
          <w:p w14:paraId="2548D7B0"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Establishes global evidence on importance of literacy for financial security.</w:t>
            </w:r>
          </w:p>
        </w:tc>
      </w:tr>
      <w:tr w:rsidR="00E367A2" w:rsidRPr="00E367A2" w14:paraId="56A0C718" w14:textId="77777777" w:rsidTr="0029066D">
        <w:trPr>
          <w:trHeight w:val="734"/>
        </w:trPr>
        <w:tc>
          <w:tcPr>
            <w:tcW w:w="1322" w:type="dxa"/>
            <w:vAlign w:val="center"/>
          </w:tcPr>
          <w:p w14:paraId="0BA2C3C6"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Atkinson &amp; Messy (2012)</w:t>
            </w:r>
          </w:p>
        </w:tc>
        <w:tc>
          <w:tcPr>
            <w:tcW w:w="2164" w:type="dxa"/>
            <w:vAlign w:val="center"/>
          </w:tcPr>
          <w:p w14:paraId="7E3D44F0"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OECD financial literacy framework</w:t>
            </w:r>
          </w:p>
        </w:tc>
        <w:tc>
          <w:tcPr>
            <w:tcW w:w="2755" w:type="dxa"/>
            <w:vAlign w:val="center"/>
          </w:tcPr>
          <w:p w14:paraId="0F8AAC5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includes knowledge, attitudes, and behavior, not just awareness.</w:t>
            </w:r>
          </w:p>
        </w:tc>
        <w:tc>
          <w:tcPr>
            <w:tcW w:w="2685" w:type="dxa"/>
            <w:vAlign w:val="center"/>
          </w:tcPr>
          <w:p w14:paraId="56034B51"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Provides a framework to assess youth financial literacy in Nepal.</w:t>
            </w:r>
          </w:p>
        </w:tc>
      </w:tr>
      <w:tr w:rsidR="00E367A2" w:rsidRPr="00E367A2" w14:paraId="39A765A1" w14:textId="77777777" w:rsidTr="0029066D">
        <w:trPr>
          <w:trHeight w:val="734"/>
        </w:trPr>
        <w:tc>
          <w:tcPr>
            <w:tcW w:w="1322" w:type="dxa"/>
            <w:vAlign w:val="center"/>
          </w:tcPr>
          <w:p w14:paraId="7102C07A"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OECD (2017)</w:t>
            </w:r>
          </w:p>
        </w:tc>
        <w:tc>
          <w:tcPr>
            <w:tcW w:w="2164" w:type="dxa"/>
            <w:vAlign w:val="center"/>
          </w:tcPr>
          <w:p w14:paraId="119F0395"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among youth worldwide</w:t>
            </w:r>
          </w:p>
        </w:tc>
        <w:tc>
          <w:tcPr>
            <w:tcW w:w="2755" w:type="dxa"/>
            <w:vAlign w:val="center"/>
          </w:tcPr>
          <w:p w14:paraId="1C5916F7"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Young people lack adequate financial knowledge despite active use of financial products.</w:t>
            </w:r>
          </w:p>
        </w:tc>
        <w:tc>
          <w:tcPr>
            <w:tcW w:w="2685" w:type="dxa"/>
            <w:vAlign w:val="center"/>
          </w:tcPr>
          <w:p w14:paraId="20D2BF2D"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Highlights the literacy gap among youth, relevant for Nepal’s urban youth segment.</w:t>
            </w:r>
          </w:p>
        </w:tc>
      </w:tr>
      <w:tr w:rsidR="00E367A2" w:rsidRPr="00E367A2" w14:paraId="5E786F2E" w14:textId="77777777" w:rsidTr="0029066D">
        <w:trPr>
          <w:trHeight w:val="734"/>
        </w:trPr>
        <w:tc>
          <w:tcPr>
            <w:tcW w:w="1322" w:type="dxa"/>
            <w:vAlign w:val="center"/>
          </w:tcPr>
          <w:p w14:paraId="65F29EF6"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Khan et al. (2019)</w:t>
            </w:r>
          </w:p>
        </w:tc>
        <w:tc>
          <w:tcPr>
            <w:tcW w:w="2164" w:type="dxa"/>
            <w:vAlign w:val="center"/>
          </w:tcPr>
          <w:p w14:paraId="27C93C87"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South Asian youth financial awareness</w:t>
            </w:r>
          </w:p>
        </w:tc>
        <w:tc>
          <w:tcPr>
            <w:tcW w:w="2755" w:type="dxa"/>
            <w:vAlign w:val="center"/>
          </w:tcPr>
          <w:p w14:paraId="6E23D5DD"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Youth show enthusiasm for financial tools but lack risk assessment skills.</w:t>
            </w:r>
          </w:p>
        </w:tc>
        <w:tc>
          <w:tcPr>
            <w:tcW w:w="2685" w:type="dxa"/>
            <w:vAlign w:val="center"/>
          </w:tcPr>
          <w:p w14:paraId="6FD082C8"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Shows challenges similar to Nepal’s context.</w:t>
            </w:r>
          </w:p>
        </w:tc>
      </w:tr>
      <w:tr w:rsidR="00E367A2" w:rsidRPr="00E367A2" w14:paraId="5A9AED51" w14:textId="77777777" w:rsidTr="0029066D">
        <w:trPr>
          <w:trHeight w:val="734"/>
        </w:trPr>
        <w:tc>
          <w:tcPr>
            <w:tcW w:w="1322" w:type="dxa"/>
            <w:vAlign w:val="center"/>
          </w:tcPr>
          <w:p w14:paraId="4D4E2C86"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Sharma &amp; Neupane (2020)</w:t>
            </w:r>
          </w:p>
        </w:tc>
        <w:tc>
          <w:tcPr>
            <w:tcW w:w="2164" w:type="dxa"/>
            <w:vAlign w:val="center"/>
          </w:tcPr>
          <w:p w14:paraId="4B0EF156"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in Nepal</w:t>
            </w:r>
          </w:p>
        </w:tc>
        <w:tc>
          <w:tcPr>
            <w:tcW w:w="2755" w:type="dxa"/>
            <w:vAlign w:val="center"/>
          </w:tcPr>
          <w:p w14:paraId="174D5639"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Nepalese youth engage in digital finance but lack investment knowledge.</w:t>
            </w:r>
          </w:p>
        </w:tc>
        <w:tc>
          <w:tcPr>
            <w:tcW w:w="2685" w:type="dxa"/>
            <w:vAlign w:val="center"/>
          </w:tcPr>
          <w:p w14:paraId="0CF1845A" w14:textId="7882772E"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 xml:space="preserve">Directly relevant to urban Nepalese youth </w:t>
            </w:r>
            <w:r w:rsidR="00F15C92" w:rsidRPr="00E367A2">
              <w:rPr>
                <w:rFonts w:ascii="Times New Roman" w:hAnsi="Times New Roman" w:cs="Times New Roman"/>
                <w:sz w:val="20"/>
                <w:szCs w:val="20"/>
              </w:rPr>
              <w:t>behaviour</w:t>
            </w:r>
            <w:r w:rsidRPr="00E367A2">
              <w:rPr>
                <w:rFonts w:ascii="Times New Roman" w:hAnsi="Times New Roman" w:cs="Times New Roman"/>
                <w:sz w:val="20"/>
                <w:szCs w:val="20"/>
              </w:rPr>
              <w:t>.</w:t>
            </w:r>
          </w:p>
        </w:tc>
      </w:tr>
      <w:tr w:rsidR="00E367A2" w:rsidRPr="00E367A2" w14:paraId="1953E91D" w14:textId="77777777" w:rsidTr="0029066D">
        <w:trPr>
          <w:trHeight w:val="734"/>
        </w:trPr>
        <w:tc>
          <w:tcPr>
            <w:tcW w:w="1322" w:type="dxa"/>
            <w:vAlign w:val="center"/>
          </w:tcPr>
          <w:p w14:paraId="048F29AD"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Pankow (2012)</w:t>
            </w:r>
          </w:p>
        </w:tc>
        <w:tc>
          <w:tcPr>
            <w:tcW w:w="2164" w:type="dxa"/>
            <w:vAlign w:val="center"/>
          </w:tcPr>
          <w:p w14:paraId="033E7EE2"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Investment patterns of young investors</w:t>
            </w:r>
          </w:p>
        </w:tc>
        <w:tc>
          <w:tcPr>
            <w:tcW w:w="2755" w:type="dxa"/>
            <w:vAlign w:val="center"/>
          </w:tcPr>
          <w:p w14:paraId="0F965DF3"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Youth prefer short-term investments, influenced by peers/social media.</w:t>
            </w:r>
          </w:p>
        </w:tc>
        <w:tc>
          <w:tcPr>
            <w:tcW w:w="2685" w:type="dxa"/>
            <w:vAlign w:val="center"/>
          </w:tcPr>
          <w:p w14:paraId="169EEF73"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Explains social influences shaping investment among youth.</w:t>
            </w:r>
          </w:p>
        </w:tc>
      </w:tr>
      <w:tr w:rsidR="00E367A2" w:rsidRPr="00E367A2" w14:paraId="22E8F9F7" w14:textId="77777777" w:rsidTr="0029066D">
        <w:trPr>
          <w:trHeight w:val="965"/>
        </w:trPr>
        <w:tc>
          <w:tcPr>
            <w:tcW w:w="1322" w:type="dxa"/>
            <w:vAlign w:val="center"/>
          </w:tcPr>
          <w:p w14:paraId="4322AF4A"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Chavali &amp; Mohanraj (2016)</w:t>
            </w:r>
          </w:p>
        </w:tc>
        <w:tc>
          <w:tcPr>
            <w:tcW w:w="2164" w:type="dxa"/>
            <w:vAlign w:val="center"/>
          </w:tcPr>
          <w:p w14:paraId="24AB74BD"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Indian youth investment behavior</w:t>
            </w:r>
          </w:p>
        </w:tc>
        <w:tc>
          <w:tcPr>
            <w:tcW w:w="2755" w:type="dxa"/>
            <w:vAlign w:val="center"/>
          </w:tcPr>
          <w:p w14:paraId="60AA3BBE" w14:textId="3FD64B4D" w:rsidR="00856133" w:rsidRPr="00E367A2" w:rsidRDefault="00F15C92"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Youth favour secure investments (such as FDs and savings account) over more risky options.</w:t>
            </w:r>
          </w:p>
        </w:tc>
        <w:tc>
          <w:tcPr>
            <w:tcW w:w="2685" w:type="dxa"/>
            <w:vAlign w:val="center"/>
          </w:tcPr>
          <w:p w14:paraId="7DC2D3FE" w14:textId="1F904A04"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Similar cultural/</w:t>
            </w:r>
            <w:r w:rsidR="00F15C92" w:rsidRPr="00E367A2">
              <w:rPr>
                <w:rFonts w:ascii="Times New Roman" w:hAnsi="Times New Roman" w:cs="Times New Roman"/>
                <w:sz w:val="20"/>
                <w:szCs w:val="20"/>
              </w:rPr>
              <w:t>behavioural</w:t>
            </w:r>
            <w:r w:rsidRPr="00E367A2">
              <w:rPr>
                <w:rFonts w:ascii="Times New Roman" w:hAnsi="Times New Roman" w:cs="Times New Roman"/>
                <w:sz w:val="20"/>
                <w:szCs w:val="20"/>
              </w:rPr>
              <w:t xml:space="preserve"> context to Nepal.</w:t>
            </w:r>
          </w:p>
        </w:tc>
      </w:tr>
      <w:tr w:rsidR="00E367A2" w:rsidRPr="00E367A2" w14:paraId="46771D8A" w14:textId="77777777" w:rsidTr="0029066D">
        <w:trPr>
          <w:trHeight w:val="734"/>
        </w:trPr>
        <w:tc>
          <w:tcPr>
            <w:tcW w:w="1322" w:type="dxa"/>
            <w:vAlign w:val="center"/>
          </w:tcPr>
          <w:p w14:paraId="5ECA2C34"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Lusardi &amp; Tufano (2015)</w:t>
            </w:r>
          </w:p>
        </w:tc>
        <w:tc>
          <w:tcPr>
            <w:tcW w:w="2164" w:type="dxa"/>
            <w:vAlign w:val="center"/>
          </w:tcPr>
          <w:p w14:paraId="0D0EBEE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Debt literacy and investment decisions</w:t>
            </w:r>
          </w:p>
        </w:tc>
        <w:tc>
          <w:tcPr>
            <w:tcW w:w="2755" w:type="dxa"/>
            <w:vAlign w:val="center"/>
          </w:tcPr>
          <w:p w14:paraId="09BF637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Low literacy leads to poor debt management and weak investment diversification.</w:t>
            </w:r>
          </w:p>
        </w:tc>
        <w:tc>
          <w:tcPr>
            <w:tcW w:w="2685" w:type="dxa"/>
            <w:vAlign w:val="center"/>
          </w:tcPr>
          <w:p w14:paraId="0E5880A3"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Shows consequences of low literacy, relevant for Nepalese youth.</w:t>
            </w:r>
          </w:p>
        </w:tc>
      </w:tr>
      <w:tr w:rsidR="00E367A2" w:rsidRPr="00E367A2" w14:paraId="13DED467" w14:textId="77777777" w:rsidTr="0029066D">
        <w:trPr>
          <w:trHeight w:val="965"/>
        </w:trPr>
        <w:tc>
          <w:tcPr>
            <w:tcW w:w="1322" w:type="dxa"/>
            <w:vAlign w:val="center"/>
          </w:tcPr>
          <w:p w14:paraId="62B502F5"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Rooij, Lusardi &amp; Alessie (2011)</w:t>
            </w:r>
          </w:p>
        </w:tc>
        <w:tc>
          <w:tcPr>
            <w:tcW w:w="2164" w:type="dxa"/>
            <w:vAlign w:val="center"/>
          </w:tcPr>
          <w:p w14:paraId="553F6A50"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and stock market participation</w:t>
            </w:r>
          </w:p>
        </w:tc>
        <w:tc>
          <w:tcPr>
            <w:tcW w:w="2755" w:type="dxa"/>
            <w:vAlign w:val="center"/>
          </w:tcPr>
          <w:p w14:paraId="7CDE5BD2" w14:textId="7D743CA3"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 xml:space="preserve">Literate individuals </w:t>
            </w:r>
            <w:r w:rsidR="00F15C92" w:rsidRPr="00E367A2">
              <w:rPr>
                <w:rFonts w:ascii="Times New Roman" w:hAnsi="Times New Roman" w:cs="Times New Roman"/>
                <w:sz w:val="20"/>
                <w:szCs w:val="20"/>
              </w:rPr>
              <w:t xml:space="preserve">are </w:t>
            </w:r>
            <w:r w:rsidRPr="00E367A2">
              <w:rPr>
                <w:rFonts w:ascii="Times New Roman" w:hAnsi="Times New Roman" w:cs="Times New Roman"/>
                <w:sz w:val="20"/>
                <w:szCs w:val="20"/>
              </w:rPr>
              <w:t>more likely to invest in stock markets.</w:t>
            </w:r>
          </w:p>
        </w:tc>
        <w:tc>
          <w:tcPr>
            <w:tcW w:w="2685" w:type="dxa"/>
            <w:vAlign w:val="center"/>
          </w:tcPr>
          <w:p w14:paraId="7975828B"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Links literacy directly to investment participation.</w:t>
            </w:r>
          </w:p>
        </w:tc>
      </w:tr>
      <w:tr w:rsidR="00E367A2" w:rsidRPr="00E367A2" w14:paraId="288F4F0F" w14:textId="77777777" w:rsidTr="0029066D">
        <w:trPr>
          <w:trHeight w:val="734"/>
        </w:trPr>
        <w:tc>
          <w:tcPr>
            <w:tcW w:w="1322" w:type="dxa"/>
            <w:vAlign w:val="center"/>
          </w:tcPr>
          <w:p w14:paraId="668733A1"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Bhushan (2014)</w:t>
            </w:r>
          </w:p>
        </w:tc>
        <w:tc>
          <w:tcPr>
            <w:tcW w:w="2164" w:type="dxa"/>
            <w:vAlign w:val="center"/>
          </w:tcPr>
          <w:p w14:paraId="6BD49AE0"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literacy in India</w:t>
            </w:r>
          </w:p>
        </w:tc>
        <w:tc>
          <w:tcPr>
            <w:tcW w:w="2755" w:type="dxa"/>
            <w:vAlign w:val="center"/>
          </w:tcPr>
          <w:p w14:paraId="56467916" w14:textId="6F473A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 xml:space="preserve">Family and peers are </w:t>
            </w:r>
            <w:r w:rsidR="00F15C92" w:rsidRPr="00E367A2">
              <w:rPr>
                <w:rFonts w:ascii="Times New Roman" w:hAnsi="Times New Roman" w:cs="Times New Roman"/>
                <w:sz w:val="20"/>
                <w:szCs w:val="20"/>
              </w:rPr>
              <w:t xml:space="preserve">the </w:t>
            </w:r>
            <w:r w:rsidRPr="00E367A2">
              <w:rPr>
                <w:rFonts w:ascii="Times New Roman" w:hAnsi="Times New Roman" w:cs="Times New Roman"/>
                <w:sz w:val="20"/>
                <w:szCs w:val="20"/>
              </w:rPr>
              <w:t>main sources of financial knowledge; formal education is limited.</w:t>
            </w:r>
          </w:p>
        </w:tc>
        <w:tc>
          <w:tcPr>
            <w:tcW w:w="2685" w:type="dxa"/>
            <w:vAlign w:val="center"/>
          </w:tcPr>
          <w:p w14:paraId="68A0289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Useful to study Nepalese youth reliance on informal sources.</w:t>
            </w:r>
          </w:p>
        </w:tc>
      </w:tr>
      <w:tr w:rsidR="00E367A2" w:rsidRPr="00E367A2" w14:paraId="3E8E7DDE" w14:textId="77777777" w:rsidTr="0029066D">
        <w:trPr>
          <w:trHeight w:val="158"/>
        </w:trPr>
        <w:tc>
          <w:tcPr>
            <w:tcW w:w="1322" w:type="dxa"/>
            <w:vAlign w:val="center"/>
          </w:tcPr>
          <w:p w14:paraId="1CD8B36A" w14:textId="77777777" w:rsidR="00856133" w:rsidRPr="00E367A2" w:rsidRDefault="00856133" w:rsidP="0029066D">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Dahal &amp; Regmi (2021)</w:t>
            </w:r>
          </w:p>
        </w:tc>
        <w:tc>
          <w:tcPr>
            <w:tcW w:w="2164" w:type="dxa"/>
            <w:vAlign w:val="center"/>
          </w:tcPr>
          <w:p w14:paraId="4067AF7E"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Financial education in Nepal</w:t>
            </w:r>
          </w:p>
        </w:tc>
        <w:tc>
          <w:tcPr>
            <w:tcW w:w="2755" w:type="dxa"/>
            <w:vAlign w:val="center"/>
          </w:tcPr>
          <w:p w14:paraId="64C44146"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Structured financial education programs are essential to improve decision-making.</w:t>
            </w:r>
          </w:p>
        </w:tc>
        <w:tc>
          <w:tcPr>
            <w:tcW w:w="2685" w:type="dxa"/>
            <w:vAlign w:val="center"/>
          </w:tcPr>
          <w:p w14:paraId="580905BA" w14:textId="77777777" w:rsidR="00856133" w:rsidRPr="00E367A2" w:rsidRDefault="00856133" w:rsidP="0029066D">
            <w:pPr>
              <w:contextualSpacing/>
              <w:jc w:val="both"/>
              <w:rPr>
                <w:rFonts w:ascii="Times New Roman" w:hAnsi="Times New Roman" w:cs="Times New Roman"/>
                <w:sz w:val="20"/>
                <w:szCs w:val="20"/>
              </w:rPr>
            </w:pPr>
            <w:r w:rsidRPr="00E367A2">
              <w:rPr>
                <w:rFonts w:ascii="Times New Roman" w:hAnsi="Times New Roman" w:cs="Times New Roman"/>
                <w:sz w:val="20"/>
                <w:szCs w:val="20"/>
              </w:rPr>
              <w:t>Suggests interventions applicable to urban Nepalese youth.</w:t>
            </w:r>
          </w:p>
        </w:tc>
      </w:tr>
    </w:tbl>
    <w:p w14:paraId="2F895CDC"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059F4053" w14:textId="211CBF4D" w:rsidR="008F0679" w:rsidRPr="00E367A2" w:rsidRDefault="008F0679"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Research Gap</w:t>
      </w:r>
    </w:p>
    <w:p w14:paraId="183FE4DC" w14:textId="65E86AFE" w:rsidR="008F0679" w:rsidRPr="00E367A2" w:rsidRDefault="008F0679"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While global and regional studies affirm the strong linkage between financial literacy and investment </w:t>
      </w:r>
      <w:r w:rsidR="00867D85" w:rsidRPr="00E367A2">
        <w:rPr>
          <w:rFonts w:ascii="Times New Roman" w:hAnsi="Times New Roman" w:cs="Times New Roman"/>
          <w:sz w:val="20"/>
          <w:szCs w:val="20"/>
        </w:rPr>
        <w:t>behaviour</w:t>
      </w:r>
      <w:r w:rsidRPr="00E367A2">
        <w:rPr>
          <w:rFonts w:ascii="Times New Roman" w:hAnsi="Times New Roman" w:cs="Times New Roman"/>
          <w:sz w:val="20"/>
          <w:szCs w:val="20"/>
        </w:rPr>
        <w:t xml:space="preserve">, limited research has been conducted focusing specifically on </w:t>
      </w:r>
      <w:r w:rsidRPr="00E367A2">
        <w:rPr>
          <w:rFonts w:ascii="Times New Roman" w:hAnsi="Times New Roman" w:cs="Times New Roman"/>
          <w:bCs/>
          <w:sz w:val="20"/>
          <w:szCs w:val="20"/>
        </w:rPr>
        <w:t>urban Nepalese youth</w:t>
      </w:r>
      <w:r w:rsidRPr="00E367A2">
        <w:rPr>
          <w:rFonts w:ascii="Times New Roman" w:hAnsi="Times New Roman" w:cs="Times New Roman"/>
          <w:sz w:val="20"/>
          <w:szCs w:val="20"/>
        </w:rPr>
        <w:t xml:space="preserve">. Most prior research highlights financial literacy levels, investment preferences, and influencing factors in broader or different contexts (global, regional, or rural populations), but there is insufficient evidence that directly addresses the </w:t>
      </w:r>
      <w:r w:rsidRPr="00E367A2">
        <w:rPr>
          <w:rFonts w:ascii="Times New Roman" w:hAnsi="Times New Roman" w:cs="Times New Roman"/>
          <w:bCs/>
          <w:sz w:val="20"/>
          <w:szCs w:val="20"/>
        </w:rPr>
        <w:t>urban youth demographic in Nepal</w:t>
      </w:r>
      <w:r w:rsidRPr="00E367A2">
        <w:rPr>
          <w:rFonts w:ascii="Times New Roman" w:hAnsi="Times New Roman" w:cs="Times New Roman"/>
          <w:sz w:val="20"/>
          <w:szCs w:val="20"/>
        </w:rPr>
        <w:t>.</w:t>
      </w:r>
    </w:p>
    <w:p w14:paraId="69467D52" w14:textId="28A5F9C9" w:rsidR="00A12FEA" w:rsidRPr="00E367A2" w:rsidRDefault="00A12FEA"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Research Methodology</w:t>
      </w:r>
    </w:p>
    <w:p w14:paraId="2B816088" w14:textId="77777777" w:rsidR="009C27F8" w:rsidRPr="00E367A2" w:rsidRDefault="009C27F8" w:rsidP="0029066D">
      <w:pPr>
        <w:spacing w:before="120" w:after="0" w:line="276" w:lineRule="auto"/>
        <w:jc w:val="both"/>
        <w:outlineLvl w:val="2"/>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Methodology</w:t>
      </w:r>
    </w:p>
    <w:p w14:paraId="1D6102BF" w14:textId="652B1CDA"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kern w:val="0"/>
          <w:sz w:val="20"/>
          <w:szCs w:val="20"/>
          <w:lang w:eastAsia="en-IN"/>
          <w14:ligatures w14:val="none"/>
        </w:rPr>
        <w:t xml:space="preserve">This study employs a mixed-methods approach to examine the relationship between financial literacy and investment </w:t>
      </w:r>
      <w:r w:rsidR="0094320A" w:rsidRPr="00E367A2">
        <w:rPr>
          <w:rFonts w:ascii="Times New Roman" w:eastAsia="Times New Roman" w:hAnsi="Times New Roman" w:cs="Times New Roman"/>
          <w:kern w:val="0"/>
          <w:sz w:val="20"/>
          <w:szCs w:val="20"/>
          <w:lang w:eastAsia="en-IN"/>
          <w14:ligatures w14:val="none"/>
        </w:rPr>
        <w:t>behaviour</w:t>
      </w:r>
      <w:r w:rsidRPr="00E367A2">
        <w:rPr>
          <w:rFonts w:ascii="Times New Roman" w:eastAsia="Times New Roman" w:hAnsi="Times New Roman" w:cs="Times New Roman"/>
          <w:kern w:val="0"/>
          <w:sz w:val="20"/>
          <w:szCs w:val="20"/>
          <w:lang w:eastAsia="en-IN"/>
          <w14:ligatures w14:val="none"/>
        </w:rPr>
        <w:t xml:space="preserve"> among urban youth in Nepal. By combining quantitative survey analysis with qualitative insights, the research ensures a comprehensive understanding of how knowledge, attitudes, and awareness shape financial decision-making, saving, and investment patterns.</w:t>
      </w:r>
    </w:p>
    <w:p w14:paraId="2DB31BD9" w14:textId="77777777" w:rsidR="009C27F8"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lastRenderedPageBreak/>
        <w:t>Research Design</w:t>
      </w:r>
    </w:p>
    <w:p w14:paraId="4B403217" w14:textId="205D8896"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kern w:val="0"/>
          <w:sz w:val="20"/>
          <w:szCs w:val="20"/>
          <w:lang w:eastAsia="en-IN"/>
          <w14:ligatures w14:val="none"/>
        </w:rPr>
        <w:t xml:space="preserve">The study adopts a </w:t>
      </w:r>
      <w:r w:rsidRPr="00E367A2">
        <w:rPr>
          <w:rFonts w:ascii="Times New Roman" w:eastAsia="Times New Roman" w:hAnsi="Times New Roman" w:cs="Times New Roman"/>
          <w:bCs/>
          <w:kern w:val="0"/>
          <w:sz w:val="20"/>
          <w:szCs w:val="20"/>
          <w:lang w:eastAsia="en-IN"/>
          <w14:ligatures w14:val="none"/>
        </w:rPr>
        <w:t>descriptive research design</w:t>
      </w:r>
      <w:r w:rsidRPr="00E367A2">
        <w:rPr>
          <w:rFonts w:ascii="Times New Roman" w:eastAsia="Times New Roman" w:hAnsi="Times New Roman" w:cs="Times New Roman"/>
          <w:kern w:val="0"/>
          <w:sz w:val="20"/>
          <w:szCs w:val="20"/>
          <w:lang w:eastAsia="en-IN"/>
          <w14:ligatures w14:val="none"/>
        </w:rPr>
        <w:t xml:space="preserve"> to quantify financial literacy levels, investment preferences, and the impact of demographic variables such as education and income on financial </w:t>
      </w:r>
      <w:r w:rsidR="0094320A" w:rsidRPr="00E367A2">
        <w:rPr>
          <w:rFonts w:ascii="Times New Roman" w:eastAsia="Times New Roman" w:hAnsi="Times New Roman" w:cs="Times New Roman"/>
          <w:kern w:val="0"/>
          <w:sz w:val="20"/>
          <w:szCs w:val="20"/>
          <w:lang w:eastAsia="en-IN"/>
          <w14:ligatures w14:val="none"/>
        </w:rPr>
        <w:t>behaviour</w:t>
      </w:r>
      <w:r w:rsidRPr="00E367A2">
        <w:rPr>
          <w:rFonts w:ascii="Times New Roman" w:eastAsia="Times New Roman" w:hAnsi="Times New Roman" w:cs="Times New Roman"/>
          <w:kern w:val="0"/>
          <w:sz w:val="20"/>
          <w:szCs w:val="20"/>
          <w:lang w:eastAsia="en-IN"/>
          <w14:ligatures w14:val="none"/>
        </w:rPr>
        <w:t>. This structure enables a detailed assessment of how financial awareness influences responsible financial practices and investment diversification among Nepalese youth.</w:t>
      </w:r>
    </w:p>
    <w:p w14:paraId="0B1961EE" w14:textId="77777777" w:rsidR="0094320A"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Data Collection</w:t>
      </w:r>
    </w:p>
    <w:p w14:paraId="617A4C21" w14:textId="7E23FF59" w:rsidR="0094320A"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Cs/>
          <w:kern w:val="0"/>
          <w:sz w:val="20"/>
          <w:szCs w:val="20"/>
          <w:lang w:eastAsia="en-IN"/>
          <w14:ligatures w14:val="none"/>
        </w:rPr>
        <w:t>Primary Data</w:t>
      </w:r>
      <w:r w:rsidRPr="00E367A2">
        <w:rPr>
          <w:rFonts w:ascii="Times New Roman" w:eastAsia="Times New Roman" w:hAnsi="Times New Roman" w:cs="Times New Roman"/>
          <w:kern w:val="0"/>
          <w:sz w:val="20"/>
          <w:szCs w:val="20"/>
          <w:lang w:eastAsia="en-IN"/>
          <w14:ligatures w14:val="none"/>
        </w:rPr>
        <w:t>:</w:t>
      </w:r>
      <w:r w:rsidR="00E367A2" w:rsidRPr="00E367A2">
        <w:rPr>
          <w:rFonts w:ascii="Times New Roman" w:eastAsia="Times New Roman" w:hAnsi="Times New Roman" w:cs="Times New Roman"/>
          <w:kern w:val="0"/>
          <w:sz w:val="20"/>
          <w:szCs w:val="20"/>
          <w:lang w:eastAsia="en-IN"/>
          <w14:ligatures w14:val="none"/>
        </w:rPr>
        <w:t xml:space="preserve"> </w:t>
      </w:r>
      <w:r w:rsidRPr="00E367A2">
        <w:rPr>
          <w:rFonts w:ascii="Times New Roman" w:eastAsia="Times New Roman" w:hAnsi="Times New Roman" w:cs="Times New Roman"/>
          <w:kern w:val="0"/>
          <w:sz w:val="20"/>
          <w:szCs w:val="20"/>
          <w:lang w:eastAsia="en-IN"/>
          <w14:ligatures w14:val="none"/>
        </w:rPr>
        <w:t xml:space="preserve">Collected through a structured questionnaire distributed among </w:t>
      </w:r>
      <w:r w:rsidRPr="00E367A2">
        <w:rPr>
          <w:rFonts w:ascii="Times New Roman" w:eastAsia="Times New Roman" w:hAnsi="Times New Roman" w:cs="Times New Roman"/>
          <w:bCs/>
          <w:kern w:val="0"/>
          <w:sz w:val="20"/>
          <w:szCs w:val="20"/>
          <w:lang w:eastAsia="en-IN"/>
          <w14:ligatures w14:val="none"/>
        </w:rPr>
        <w:t>138 urban youth respondents</w:t>
      </w:r>
      <w:r w:rsidRPr="00E367A2">
        <w:rPr>
          <w:rFonts w:ascii="Times New Roman" w:eastAsia="Times New Roman" w:hAnsi="Times New Roman" w:cs="Times New Roman"/>
          <w:kern w:val="0"/>
          <w:sz w:val="20"/>
          <w:szCs w:val="20"/>
          <w:lang w:eastAsia="en-IN"/>
          <w14:ligatures w14:val="none"/>
        </w:rPr>
        <w:t xml:space="preserve"> in Nepal. The questionnaire included demographic details, financial attitudes, literacy indicators, investment </w:t>
      </w:r>
      <w:r w:rsidR="0094320A" w:rsidRPr="00E367A2">
        <w:rPr>
          <w:rFonts w:ascii="Times New Roman" w:eastAsia="Times New Roman" w:hAnsi="Times New Roman" w:cs="Times New Roman"/>
          <w:kern w:val="0"/>
          <w:sz w:val="20"/>
          <w:szCs w:val="20"/>
          <w:lang w:eastAsia="en-IN"/>
          <w14:ligatures w14:val="none"/>
        </w:rPr>
        <w:t>behaviour</w:t>
      </w:r>
      <w:r w:rsidRPr="00E367A2">
        <w:rPr>
          <w:rFonts w:ascii="Times New Roman" w:eastAsia="Times New Roman" w:hAnsi="Times New Roman" w:cs="Times New Roman"/>
          <w:kern w:val="0"/>
          <w:sz w:val="20"/>
          <w:szCs w:val="20"/>
          <w:lang w:eastAsia="en-IN"/>
          <w14:ligatures w14:val="none"/>
        </w:rPr>
        <w:t>, and decision-making patterns.</w:t>
      </w:r>
    </w:p>
    <w:p w14:paraId="6976FBEC" w14:textId="3B810891" w:rsidR="009C27F8"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Cs/>
          <w:kern w:val="0"/>
          <w:sz w:val="20"/>
          <w:szCs w:val="20"/>
          <w:lang w:eastAsia="en-IN"/>
          <w14:ligatures w14:val="none"/>
        </w:rPr>
        <w:t>Secondary Data</w:t>
      </w:r>
      <w:r w:rsidRPr="00E367A2">
        <w:rPr>
          <w:rFonts w:ascii="Times New Roman" w:eastAsia="Times New Roman" w:hAnsi="Times New Roman" w:cs="Times New Roman"/>
          <w:kern w:val="0"/>
          <w:sz w:val="20"/>
          <w:szCs w:val="20"/>
          <w:lang w:eastAsia="en-IN"/>
          <w14:ligatures w14:val="none"/>
        </w:rPr>
        <w:t>:</w:t>
      </w:r>
      <w:r w:rsidR="00E367A2" w:rsidRPr="00E367A2">
        <w:rPr>
          <w:rFonts w:ascii="Times New Roman" w:eastAsia="Times New Roman" w:hAnsi="Times New Roman" w:cs="Times New Roman"/>
          <w:kern w:val="0"/>
          <w:sz w:val="20"/>
          <w:szCs w:val="20"/>
          <w:lang w:eastAsia="en-IN"/>
          <w14:ligatures w14:val="none"/>
        </w:rPr>
        <w:t xml:space="preserve"> </w:t>
      </w:r>
      <w:r w:rsidRPr="00E367A2">
        <w:rPr>
          <w:rFonts w:ascii="Times New Roman" w:eastAsia="Times New Roman" w:hAnsi="Times New Roman" w:cs="Times New Roman"/>
          <w:kern w:val="0"/>
          <w:sz w:val="20"/>
          <w:szCs w:val="20"/>
          <w:lang w:eastAsia="en-IN"/>
          <w14:ligatures w14:val="none"/>
        </w:rPr>
        <w:t>Existing literature, reports from the OECD, financial institutions, and prior studies on youth financial literacy in Nepal and South Asia were reviewed to establish a contextual framework and validate findings.</w:t>
      </w:r>
    </w:p>
    <w:p w14:paraId="14AB6EE5" w14:textId="0E5037CA" w:rsidR="009C27F8"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Sampling Details</w:t>
      </w:r>
    </w:p>
    <w:p w14:paraId="0FC9F8B9" w14:textId="77777777"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Sample Size</w:t>
      </w:r>
      <w:r w:rsidRPr="00E367A2">
        <w:rPr>
          <w:rFonts w:ascii="Times New Roman" w:eastAsia="Times New Roman" w:hAnsi="Times New Roman" w:cs="Times New Roman"/>
          <w:kern w:val="0"/>
          <w:sz w:val="20"/>
          <w:szCs w:val="20"/>
          <w:lang w:eastAsia="en-IN"/>
          <w14:ligatures w14:val="none"/>
        </w:rPr>
        <w:t>: 138 respondents from urban Nepal.</w:t>
      </w:r>
    </w:p>
    <w:p w14:paraId="52578728" w14:textId="77777777"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Sampling Technique</w:t>
      </w:r>
      <w:r w:rsidRPr="00E367A2">
        <w:rPr>
          <w:rFonts w:ascii="Times New Roman" w:eastAsia="Times New Roman" w:hAnsi="Times New Roman" w:cs="Times New Roman"/>
          <w:kern w:val="0"/>
          <w:sz w:val="20"/>
          <w:szCs w:val="20"/>
          <w:lang w:eastAsia="en-IN"/>
          <w14:ligatures w14:val="none"/>
        </w:rPr>
        <w:t>: Convenience sampling, targeting young individuals actively engaged with financial products such as savings accounts, digital wallets, or basic investments.</w:t>
      </w:r>
    </w:p>
    <w:p w14:paraId="02E8DAFB" w14:textId="77777777"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Inclusion Criteria</w:t>
      </w:r>
      <w:r w:rsidRPr="00E367A2">
        <w:rPr>
          <w:rFonts w:ascii="Times New Roman" w:eastAsia="Times New Roman" w:hAnsi="Times New Roman" w:cs="Times New Roman"/>
          <w:kern w:val="0"/>
          <w:sz w:val="20"/>
          <w:szCs w:val="20"/>
          <w:lang w:eastAsia="en-IN"/>
          <w14:ligatures w14:val="none"/>
        </w:rPr>
        <w:t>: Respondents aged 18–35 with awareness of or experience in saving, borrowing, or investing.</w:t>
      </w:r>
    </w:p>
    <w:p w14:paraId="3A2593AB" w14:textId="77777777"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Exclusion Criteria</w:t>
      </w:r>
      <w:r w:rsidRPr="00E367A2">
        <w:rPr>
          <w:rFonts w:ascii="Times New Roman" w:eastAsia="Times New Roman" w:hAnsi="Times New Roman" w:cs="Times New Roman"/>
          <w:kern w:val="0"/>
          <w:sz w:val="20"/>
          <w:szCs w:val="20"/>
          <w:lang w:eastAsia="en-IN"/>
          <w14:ligatures w14:val="none"/>
        </w:rPr>
        <w:t>: Respondents with no basic exposure to financial services or literacy concepts were excluded.</w:t>
      </w:r>
    </w:p>
    <w:p w14:paraId="2C44A5E6" w14:textId="60328548" w:rsidR="0094320A"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Data Analysis</w:t>
      </w:r>
      <w:r w:rsidR="0094320A" w:rsidRPr="00E367A2">
        <w:rPr>
          <w:rFonts w:ascii="Times New Roman" w:eastAsia="Times New Roman" w:hAnsi="Times New Roman" w:cs="Times New Roman"/>
          <w:b/>
          <w:bCs/>
          <w:kern w:val="0"/>
          <w:sz w:val="20"/>
          <w:szCs w:val="20"/>
          <w:lang w:eastAsia="en-IN"/>
          <w14:ligatures w14:val="none"/>
        </w:rPr>
        <w:t xml:space="preserve"> </w:t>
      </w:r>
      <w:r w:rsidRPr="00E367A2">
        <w:rPr>
          <w:rFonts w:ascii="Times New Roman" w:eastAsia="Times New Roman" w:hAnsi="Times New Roman" w:cs="Times New Roman"/>
          <w:b/>
          <w:bCs/>
          <w:kern w:val="0"/>
          <w:sz w:val="20"/>
          <w:szCs w:val="20"/>
          <w:lang w:eastAsia="en-IN"/>
          <w14:ligatures w14:val="none"/>
        </w:rPr>
        <w:t>Quantitative</w:t>
      </w:r>
      <w:r w:rsidRPr="00E367A2">
        <w:rPr>
          <w:rFonts w:ascii="Times New Roman" w:eastAsia="Times New Roman" w:hAnsi="Times New Roman" w:cs="Times New Roman"/>
          <w:kern w:val="0"/>
          <w:sz w:val="20"/>
          <w:szCs w:val="20"/>
          <w:lang w:eastAsia="en-IN"/>
          <w14:ligatures w14:val="none"/>
        </w:rPr>
        <w:t xml:space="preserve">: Descriptive statistics (frequency distributions, percentages, and charts) were used to </w:t>
      </w:r>
      <w:r w:rsidR="0094320A" w:rsidRPr="00E367A2">
        <w:rPr>
          <w:rFonts w:ascii="Times New Roman" w:eastAsia="Times New Roman" w:hAnsi="Times New Roman" w:cs="Times New Roman"/>
          <w:kern w:val="0"/>
          <w:sz w:val="20"/>
          <w:szCs w:val="20"/>
          <w:lang w:eastAsia="en-IN"/>
          <w14:ligatures w14:val="none"/>
        </w:rPr>
        <w:t>analyse</w:t>
      </w:r>
      <w:r w:rsidRPr="00E367A2">
        <w:rPr>
          <w:rFonts w:ascii="Times New Roman" w:eastAsia="Times New Roman" w:hAnsi="Times New Roman" w:cs="Times New Roman"/>
          <w:kern w:val="0"/>
          <w:sz w:val="20"/>
          <w:szCs w:val="20"/>
          <w:lang w:eastAsia="en-IN"/>
          <w14:ligatures w14:val="none"/>
        </w:rPr>
        <w:t xml:space="preserve"> literacy levels, investment participation, and demographic correlations. Regression analysis tested the hypotheses linking education and income to proactive financial </w:t>
      </w:r>
      <w:r w:rsidR="0094320A" w:rsidRPr="00E367A2">
        <w:rPr>
          <w:rFonts w:ascii="Times New Roman" w:eastAsia="Times New Roman" w:hAnsi="Times New Roman" w:cs="Times New Roman"/>
          <w:kern w:val="0"/>
          <w:sz w:val="20"/>
          <w:szCs w:val="20"/>
          <w:lang w:eastAsia="en-IN"/>
          <w14:ligatures w14:val="none"/>
        </w:rPr>
        <w:t>behaviour</w:t>
      </w:r>
      <w:r w:rsidRPr="00E367A2">
        <w:rPr>
          <w:rFonts w:ascii="Times New Roman" w:eastAsia="Times New Roman" w:hAnsi="Times New Roman" w:cs="Times New Roman"/>
          <w:kern w:val="0"/>
          <w:sz w:val="20"/>
          <w:szCs w:val="20"/>
          <w:lang w:eastAsia="en-IN"/>
          <w14:ligatures w14:val="none"/>
        </w:rPr>
        <w:t>, as well as literacy to diversified investment choices.</w:t>
      </w:r>
    </w:p>
    <w:p w14:paraId="5465673A" w14:textId="5A4BE2B2" w:rsidR="009C27F8" w:rsidRPr="00E367A2" w:rsidRDefault="009C27F8" w:rsidP="0029066D">
      <w:pPr>
        <w:spacing w:before="120" w:after="0" w:line="276" w:lineRule="auto"/>
        <w:jc w:val="both"/>
        <w:rPr>
          <w:rFonts w:ascii="Times New Roman" w:eastAsia="Times New Roman" w:hAnsi="Times New Roman" w:cs="Times New Roman"/>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Qualitative</w:t>
      </w:r>
      <w:r w:rsidRPr="00E367A2">
        <w:rPr>
          <w:rFonts w:ascii="Times New Roman" w:eastAsia="Times New Roman" w:hAnsi="Times New Roman" w:cs="Times New Roman"/>
          <w:kern w:val="0"/>
          <w:sz w:val="20"/>
          <w:szCs w:val="20"/>
          <w:lang w:eastAsia="en-IN"/>
          <w14:ligatures w14:val="none"/>
        </w:rPr>
        <w:t xml:space="preserve">: Open-ended responses were </w:t>
      </w:r>
      <w:r w:rsidR="0094320A" w:rsidRPr="00E367A2">
        <w:rPr>
          <w:rFonts w:ascii="Times New Roman" w:eastAsia="Times New Roman" w:hAnsi="Times New Roman" w:cs="Times New Roman"/>
          <w:kern w:val="0"/>
          <w:sz w:val="20"/>
          <w:szCs w:val="20"/>
          <w:lang w:eastAsia="en-IN"/>
          <w14:ligatures w14:val="none"/>
        </w:rPr>
        <w:t>analysed</w:t>
      </w:r>
      <w:r w:rsidRPr="00E367A2">
        <w:rPr>
          <w:rFonts w:ascii="Times New Roman" w:eastAsia="Times New Roman" w:hAnsi="Times New Roman" w:cs="Times New Roman"/>
          <w:kern w:val="0"/>
          <w:sz w:val="20"/>
          <w:szCs w:val="20"/>
          <w:lang w:eastAsia="en-IN"/>
          <w14:ligatures w14:val="none"/>
        </w:rPr>
        <w:t xml:space="preserve"> to capture perceptions, challenges, and suggestions regarding financial education and responsible investing.</w:t>
      </w:r>
    </w:p>
    <w:p w14:paraId="1D19897A" w14:textId="0D2FF67F" w:rsidR="009C27F8"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Validity &amp; Reliability</w:t>
      </w:r>
      <w:r w:rsidR="0094320A" w:rsidRPr="00E367A2">
        <w:rPr>
          <w:rFonts w:ascii="Times New Roman" w:eastAsia="Times New Roman" w:hAnsi="Times New Roman" w:cs="Times New Roman"/>
          <w:b/>
          <w:bCs/>
          <w:kern w:val="0"/>
          <w:sz w:val="20"/>
          <w:szCs w:val="20"/>
          <w:lang w:eastAsia="en-IN"/>
          <w14:ligatures w14:val="none"/>
        </w:rPr>
        <w:t xml:space="preserve"> </w:t>
      </w:r>
      <w:r w:rsidRPr="00E367A2">
        <w:rPr>
          <w:rFonts w:ascii="Times New Roman" w:eastAsia="Times New Roman" w:hAnsi="Times New Roman" w:cs="Times New Roman"/>
          <w:kern w:val="0"/>
          <w:sz w:val="20"/>
          <w:szCs w:val="20"/>
          <w:lang w:eastAsia="en-IN"/>
          <w14:ligatures w14:val="none"/>
        </w:rPr>
        <w:t xml:space="preserve">The questionnaire was </w:t>
      </w:r>
      <w:r w:rsidRPr="00E367A2">
        <w:rPr>
          <w:rFonts w:ascii="Times New Roman" w:eastAsia="Times New Roman" w:hAnsi="Times New Roman" w:cs="Times New Roman"/>
          <w:bCs/>
          <w:kern w:val="0"/>
          <w:sz w:val="20"/>
          <w:szCs w:val="20"/>
          <w:lang w:eastAsia="en-IN"/>
          <w14:ligatures w14:val="none"/>
        </w:rPr>
        <w:t>pre-tested</w:t>
      </w:r>
      <w:r w:rsidRPr="00E367A2">
        <w:rPr>
          <w:rFonts w:ascii="Times New Roman" w:eastAsia="Times New Roman" w:hAnsi="Times New Roman" w:cs="Times New Roman"/>
          <w:kern w:val="0"/>
          <w:sz w:val="20"/>
          <w:szCs w:val="20"/>
          <w:lang w:eastAsia="en-IN"/>
          <w14:ligatures w14:val="none"/>
        </w:rPr>
        <w:t xml:space="preserve"> with a subset of respondents to ensure clarity and relevance. </w:t>
      </w:r>
      <w:r w:rsidRPr="00E367A2">
        <w:rPr>
          <w:rFonts w:ascii="Times New Roman" w:eastAsia="Times New Roman" w:hAnsi="Times New Roman" w:cs="Times New Roman"/>
          <w:bCs/>
          <w:kern w:val="0"/>
          <w:sz w:val="20"/>
          <w:szCs w:val="20"/>
          <w:lang w:eastAsia="en-IN"/>
          <w14:ligatures w14:val="none"/>
        </w:rPr>
        <w:t>Cronbach’s alpha</w:t>
      </w:r>
      <w:r w:rsidRPr="00E367A2">
        <w:rPr>
          <w:rFonts w:ascii="Times New Roman" w:eastAsia="Times New Roman" w:hAnsi="Times New Roman" w:cs="Times New Roman"/>
          <w:kern w:val="0"/>
          <w:sz w:val="20"/>
          <w:szCs w:val="20"/>
          <w:lang w:eastAsia="en-IN"/>
          <w14:ligatures w14:val="none"/>
        </w:rPr>
        <w:t xml:space="preserve"> was applied to test internal consistency, and expert validation ensured content validity.</w:t>
      </w:r>
    </w:p>
    <w:p w14:paraId="499B638A" w14:textId="041029BA" w:rsidR="00A12FEA" w:rsidRPr="00E367A2" w:rsidRDefault="009C27F8" w:rsidP="0029066D">
      <w:pPr>
        <w:spacing w:before="120" w:after="0" w:line="276" w:lineRule="auto"/>
        <w:jc w:val="both"/>
        <w:outlineLvl w:val="3"/>
        <w:rPr>
          <w:rFonts w:ascii="Times New Roman" w:eastAsia="Times New Roman" w:hAnsi="Times New Roman" w:cs="Times New Roman"/>
          <w:b/>
          <w:bCs/>
          <w:kern w:val="0"/>
          <w:sz w:val="20"/>
          <w:szCs w:val="20"/>
          <w:lang w:eastAsia="en-IN"/>
          <w14:ligatures w14:val="none"/>
        </w:rPr>
      </w:pPr>
      <w:r w:rsidRPr="00E367A2">
        <w:rPr>
          <w:rFonts w:ascii="Times New Roman" w:eastAsia="Times New Roman" w:hAnsi="Times New Roman" w:cs="Times New Roman"/>
          <w:b/>
          <w:bCs/>
          <w:kern w:val="0"/>
          <w:sz w:val="20"/>
          <w:szCs w:val="20"/>
          <w:lang w:eastAsia="en-IN"/>
          <w14:ligatures w14:val="none"/>
        </w:rPr>
        <w:t>Ethical Considerations</w:t>
      </w:r>
      <w:r w:rsidR="0094320A" w:rsidRPr="00E367A2">
        <w:rPr>
          <w:rFonts w:ascii="Times New Roman" w:eastAsia="Times New Roman" w:hAnsi="Times New Roman" w:cs="Times New Roman"/>
          <w:b/>
          <w:bCs/>
          <w:kern w:val="0"/>
          <w:sz w:val="20"/>
          <w:szCs w:val="20"/>
          <w:lang w:eastAsia="en-IN"/>
          <w14:ligatures w14:val="none"/>
        </w:rPr>
        <w:t xml:space="preserve"> </w:t>
      </w:r>
      <w:r w:rsidRPr="00E367A2">
        <w:rPr>
          <w:rFonts w:ascii="Times New Roman" w:eastAsia="Times New Roman" w:hAnsi="Times New Roman" w:cs="Times New Roman"/>
          <w:kern w:val="0"/>
          <w:sz w:val="20"/>
          <w:szCs w:val="20"/>
          <w:lang w:eastAsia="en-IN"/>
          <w14:ligatures w14:val="none"/>
        </w:rPr>
        <w:t>The study followed ethical research practices by ensuring participant anonymity and informed consent. Data was collected solely for academic purposes, with strict confidentiality maintained throughout.</w:t>
      </w:r>
    </w:p>
    <w:p w14:paraId="4B762204" w14:textId="77777777" w:rsidR="0094320A" w:rsidRPr="00E367A2" w:rsidRDefault="0094320A" w:rsidP="0029066D">
      <w:pPr>
        <w:spacing w:before="120" w:after="0" w:line="276" w:lineRule="auto"/>
        <w:jc w:val="both"/>
        <w:rPr>
          <w:rFonts w:ascii="Times New Roman" w:hAnsi="Times New Roman" w:cs="Times New Roman"/>
          <w:b/>
          <w:bCs/>
          <w:sz w:val="20"/>
          <w:szCs w:val="20"/>
        </w:rPr>
        <w:sectPr w:rsidR="0094320A" w:rsidRPr="00E367A2" w:rsidSect="00A61429">
          <w:type w:val="continuous"/>
          <w:pgSz w:w="11906" w:h="16838" w:code="9"/>
          <w:pgMar w:top="1440" w:right="1440" w:bottom="1440" w:left="1440" w:header="576" w:footer="708" w:gutter="0"/>
          <w:cols w:num="2" w:space="708"/>
          <w:docGrid w:linePitch="360"/>
        </w:sectPr>
      </w:pPr>
    </w:p>
    <w:p w14:paraId="147EF320" w14:textId="2C2DD610" w:rsidR="008F0679" w:rsidRPr="00E367A2" w:rsidRDefault="007D1BD2"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Data Analysis &amp; Interpretation</w:t>
      </w:r>
    </w:p>
    <w:tbl>
      <w:tblPr>
        <w:tblStyle w:val="TableGrid"/>
        <w:tblpPr w:leftFromText="180" w:rightFromText="180" w:vertAnchor="text" w:horzAnchor="margin" w:tblpXSpec="center" w:tblpY="703"/>
        <w:tblW w:w="0" w:type="auto"/>
        <w:tblLayout w:type="fixed"/>
        <w:tblLook w:val="04A0" w:firstRow="1" w:lastRow="0" w:firstColumn="1" w:lastColumn="0" w:noHBand="0" w:noVBand="1"/>
      </w:tblPr>
      <w:tblGrid>
        <w:gridCol w:w="833"/>
        <w:gridCol w:w="833"/>
        <w:gridCol w:w="1207"/>
        <w:gridCol w:w="1156"/>
        <w:gridCol w:w="1462"/>
        <w:gridCol w:w="1666"/>
      </w:tblGrid>
      <w:tr w:rsidR="00E367A2" w:rsidRPr="00E367A2" w14:paraId="15C67C37" w14:textId="77777777" w:rsidTr="00E367A2">
        <w:tc>
          <w:tcPr>
            <w:tcW w:w="7157" w:type="dxa"/>
            <w:gridSpan w:val="6"/>
          </w:tcPr>
          <w:p w14:paraId="180BBFB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AGE</w:t>
            </w:r>
          </w:p>
        </w:tc>
      </w:tr>
      <w:tr w:rsidR="00E367A2" w:rsidRPr="00E367A2" w14:paraId="19E6A47A" w14:textId="77777777" w:rsidTr="00E367A2">
        <w:tc>
          <w:tcPr>
            <w:tcW w:w="1666" w:type="dxa"/>
            <w:gridSpan w:val="2"/>
          </w:tcPr>
          <w:p w14:paraId="7A980E50"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366A061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1C78003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42ACF46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0028022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11B81664" w14:textId="77777777" w:rsidTr="00E367A2">
        <w:tc>
          <w:tcPr>
            <w:tcW w:w="833" w:type="dxa"/>
            <w:vMerge w:val="restart"/>
          </w:tcPr>
          <w:p w14:paraId="404092C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833" w:type="dxa"/>
          </w:tcPr>
          <w:p w14:paraId="084C5FF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18-21</w:t>
            </w:r>
          </w:p>
        </w:tc>
        <w:tc>
          <w:tcPr>
            <w:tcW w:w="1207" w:type="dxa"/>
          </w:tcPr>
          <w:p w14:paraId="750ACAE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88</w:t>
            </w:r>
          </w:p>
        </w:tc>
        <w:tc>
          <w:tcPr>
            <w:tcW w:w="1156" w:type="dxa"/>
          </w:tcPr>
          <w:p w14:paraId="3A167B3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63.8</w:t>
            </w:r>
          </w:p>
        </w:tc>
        <w:tc>
          <w:tcPr>
            <w:tcW w:w="1462" w:type="dxa"/>
          </w:tcPr>
          <w:p w14:paraId="0B811C7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63.8</w:t>
            </w:r>
          </w:p>
        </w:tc>
        <w:tc>
          <w:tcPr>
            <w:tcW w:w="1666" w:type="dxa"/>
          </w:tcPr>
          <w:p w14:paraId="732C9E0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63.8</w:t>
            </w:r>
          </w:p>
        </w:tc>
      </w:tr>
      <w:tr w:rsidR="00E367A2" w:rsidRPr="00E367A2" w14:paraId="39B58849" w14:textId="77777777" w:rsidTr="00E367A2">
        <w:tc>
          <w:tcPr>
            <w:tcW w:w="833" w:type="dxa"/>
            <w:vMerge/>
          </w:tcPr>
          <w:p w14:paraId="5E3FC0AF"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4ECFE8E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22-25</w:t>
            </w:r>
          </w:p>
        </w:tc>
        <w:tc>
          <w:tcPr>
            <w:tcW w:w="1207" w:type="dxa"/>
          </w:tcPr>
          <w:p w14:paraId="1927561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w:t>
            </w:r>
          </w:p>
        </w:tc>
        <w:tc>
          <w:tcPr>
            <w:tcW w:w="1156" w:type="dxa"/>
          </w:tcPr>
          <w:p w14:paraId="151D83B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462" w:type="dxa"/>
          </w:tcPr>
          <w:p w14:paraId="285316D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666" w:type="dxa"/>
          </w:tcPr>
          <w:p w14:paraId="16A1012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76.8</w:t>
            </w:r>
          </w:p>
        </w:tc>
      </w:tr>
      <w:tr w:rsidR="00E367A2" w:rsidRPr="00E367A2" w14:paraId="55AEF839" w14:textId="77777777" w:rsidTr="00E367A2">
        <w:tc>
          <w:tcPr>
            <w:tcW w:w="833" w:type="dxa"/>
            <w:vMerge/>
          </w:tcPr>
          <w:p w14:paraId="043A39EE"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48CD180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26-30</w:t>
            </w:r>
          </w:p>
        </w:tc>
        <w:tc>
          <w:tcPr>
            <w:tcW w:w="1207" w:type="dxa"/>
          </w:tcPr>
          <w:p w14:paraId="7F1FCA1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16</w:t>
            </w:r>
          </w:p>
        </w:tc>
        <w:tc>
          <w:tcPr>
            <w:tcW w:w="1156" w:type="dxa"/>
          </w:tcPr>
          <w:p w14:paraId="0197BBE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462" w:type="dxa"/>
          </w:tcPr>
          <w:p w14:paraId="350F682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666" w:type="dxa"/>
          </w:tcPr>
          <w:p w14:paraId="2B1B699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88.4</w:t>
            </w:r>
          </w:p>
        </w:tc>
      </w:tr>
      <w:tr w:rsidR="00E367A2" w:rsidRPr="00E367A2" w14:paraId="2830A834" w14:textId="77777777" w:rsidTr="00E367A2">
        <w:tc>
          <w:tcPr>
            <w:tcW w:w="833" w:type="dxa"/>
            <w:vMerge/>
          </w:tcPr>
          <w:p w14:paraId="3475788A"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199E0F6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31-35</w:t>
            </w:r>
          </w:p>
        </w:tc>
        <w:tc>
          <w:tcPr>
            <w:tcW w:w="1207" w:type="dxa"/>
          </w:tcPr>
          <w:p w14:paraId="5FC221B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16</w:t>
            </w:r>
          </w:p>
        </w:tc>
        <w:tc>
          <w:tcPr>
            <w:tcW w:w="1156" w:type="dxa"/>
          </w:tcPr>
          <w:p w14:paraId="3594128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462" w:type="dxa"/>
          </w:tcPr>
          <w:p w14:paraId="0C9826A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666" w:type="dxa"/>
          </w:tcPr>
          <w:p w14:paraId="440FAB6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00173DD8" w14:textId="77777777" w:rsidTr="00E367A2">
        <w:tc>
          <w:tcPr>
            <w:tcW w:w="833" w:type="dxa"/>
            <w:vMerge/>
          </w:tcPr>
          <w:p w14:paraId="6DB1956D"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50BE5BD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31D596C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6A06241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08A2568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56DD3A6D" w14:textId="77777777" w:rsidR="00FA7076" w:rsidRPr="00E367A2" w:rsidRDefault="00FA7076" w:rsidP="00E367A2">
            <w:pPr>
              <w:contextualSpacing/>
              <w:jc w:val="both"/>
              <w:rPr>
                <w:rFonts w:ascii="Times New Roman" w:hAnsi="Times New Roman" w:cs="Times New Roman"/>
                <w:sz w:val="20"/>
                <w:szCs w:val="20"/>
              </w:rPr>
            </w:pPr>
          </w:p>
        </w:tc>
      </w:tr>
    </w:tbl>
    <w:p w14:paraId="16AC3D92" w14:textId="453938C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Section A: Demographics</w:t>
      </w:r>
    </w:p>
    <w:p w14:paraId="638B416C" w14:textId="335FDAAF" w:rsidR="00FA7076" w:rsidRPr="00E367A2" w:rsidRDefault="002C2995"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bCs/>
          <w:sz w:val="20"/>
          <w:szCs w:val="20"/>
        </w:rPr>
        <w:t xml:space="preserve">1.Age </w:t>
      </w:r>
    </w:p>
    <w:p w14:paraId="7059ACF7"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395267B5" wp14:editId="3B72FBF8">
            <wp:extent cx="4595446" cy="2203938"/>
            <wp:effectExtent l="0" t="0" r="15240" b="6350"/>
            <wp:docPr id="319305689" name="Chart 1">
              <a:extLst xmlns:a="http://schemas.openxmlformats.org/drawingml/2006/main">
                <a:ext uri="{FF2B5EF4-FFF2-40B4-BE49-F238E27FC236}">
                  <a16:creationId xmlns:a16="http://schemas.microsoft.com/office/drawing/2014/main" id="{5DB025D1-A7A2-C252-3B3E-2C61AFCD8F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CAB97C"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244F06E2" w14:textId="4C6278F7"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bCs/>
          <w:sz w:val="20"/>
          <w:szCs w:val="20"/>
        </w:rPr>
        <w:t>Interpretation:</w:t>
      </w:r>
      <w:r w:rsidRPr="00E367A2">
        <w:rPr>
          <w:rFonts w:ascii="Times New Roman" w:eastAsia="Times New Roman" w:hAnsi="Times New Roman" w:cs="Times New Roman"/>
          <w:kern w:val="0"/>
          <w:sz w:val="20"/>
          <w:szCs w:val="20"/>
          <w14:ligatures w14:val="none"/>
        </w:rPr>
        <w:t xml:space="preserve"> </w:t>
      </w:r>
      <w:r w:rsidRPr="00E367A2">
        <w:rPr>
          <w:rFonts w:ascii="Times New Roman" w:hAnsi="Times New Roman" w:cs="Times New Roman"/>
          <w:sz w:val="20"/>
          <w:szCs w:val="20"/>
        </w:rPr>
        <w:t xml:space="preserve">The frequency distribution table reveals that 63.8% of respondents are aged 18–21, indicating a predominantly young adult demographic. The 22–25 age group accounts for </w:t>
      </w:r>
      <w:r w:rsidRPr="00E367A2">
        <w:rPr>
          <w:rFonts w:ascii="Times New Roman" w:hAnsi="Times New Roman" w:cs="Times New Roman"/>
          <w:sz w:val="20"/>
          <w:szCs w:val="20"/>
        </w:rPr>
        <w:t>13.0%, while both the 26–30 and 31–35 groups comprise 11.6% each. This youth-heavy sample suggests the survey findings primarily reflect younger perspectives, limiting broader generalization.</w:t>
      </w:r>
    </w:p>
    <w:p w14:paraId="1B3A883D"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1C0843B8" w14:textId="22D40D20" w:rsidR="002C2995" w:rsidRPr="00E367A2" w:rsidRDefault="002C2995"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2.Gender </w:t>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876"/>
        <w:gridCol w:w="1164"/>
        <w:gridCol w:w="894"/>
        <w:gridCol w:w="894"/>
        <w:gridCol w:w="1231"/>
      </w:tblGrid>
      <w:tr w:rsidR="00E367A2" w:rsidRPr="00E367A2" w14:paraId="7BB633F3" w14:textId="77777777" w:rsidTr="00E367A2">
        <w:trPr>
          <w:trHeight w:val="58"/>
          <w:jc w:val="center"/>
        </w:trPr>
        <w:tc>
          <w:tcPr>
            <w:tcW w:w="1577" w:type="dxa"/>
            <w:gridSpan w:val="2"/>
            <w:shd w:val="clear" w:color="000000" w:fill="FFFFFF"/>
            <w:vAlign w:val="center"/>
            <w:hideMark/>
          </w:tcPr>
          <w:p w14:paraId="06C7E45F"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Times New Roman" w:hAnsi="Times New Roman" w:cs="Times New Roman"/>
                <w:kern w:val="0"/>
                <w:sz w:val="20"/>
                <w:szCs w:val="20"/>
                <w14:ligatures w14:val="none"/>
              </w:rPr>
              <w:t> </w:t>
            </w:r>
          </w:p>
        </w:tc>
        <w:tc>
          <w:tcPr>
            <w:tcW w:w="1164" w:type="dxa"/>
            <w:shd w:val="clear" w:color="000000" w:fill="FFFFFF"/>
            <w:vAlign w:val="center"/>
            <w:hideMark/>
          </w:tcPr>
          <w:p w14:paraId="3D90C2F0"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Frequency</w:t>
            </w:r>
          </w:p>
        </w:tc>
        <w:tc>
          <w:tcPr>
            <w:tcW w:w="894" w:type="dxa"/>
            <w:shd w:val="clear" w:color="000000" w:fill="FFFFFF"/>
            <w:vAlign w:val="center"/>
            <w:hideMark/>
          </w:tcPr>
          <w:p w14:paraId="75935464"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Percent</w:t>
            </w:r>
          </w:p>
        </w:tc>
        <w:tc>
          <w:tcPr>
            <w:tcW w:w="894" w:type="dxa"/>
            <w:shd w:val="clear" w:color="000000" w:fill="FFFFFF"/>
            <w:vAlign w:val="center"/>
            <w:hideMark/>
          </w:tcPr>
          <w:p w14:paraId="30196D0D"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Valid Percent</w:t>
            </w:r>
          </w:p>
        </w:tc>
        <w:tc>
          <w:tcPr>
            <w:tcW w:w="1231" w:type="dxa"/>
            <w:shd w:val="clear" w:color="000000" w:fill="FFFFFF"/>
            <w:vAlign w:val="center"/>
            <w:hideMark/>
          </w:tcPr>
          <w:p w14:paraId="5A7954C7"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Cumulative Percent</w:t>
            </w:r>
          </w:p>
        </w:tc>
      </w:tr>
      <w:tr w:rsidR="00E367A2" w:rsidRPr="00E367A2" w14:paraId="7BB7AC6B" w14:textId="77777777" w:rsidTr="00E367A2">
        <w:trPr>
          <w:trHeight w:val="58"/>
          <w:jc w:val="center"/>
        </w:trPr>
        <w:tc>
          <w:tcPr>
            <w:tcW w:w="701" w:type="dxa"/>
            <w:vMerge w:val="restart"/>
            <w:shd w:val="clear" w:color="000000" w:fill="E0E0E0"/>
            <w:vAlign w:val="center"/>
            <w:hideMark/>
          </w:tcPr>
          <w:p w14:paraId="17F3F36E"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Valid</w:t>
            </w:r>
          </w:p>
        </w:tc>
        <w:tc>
          <w:tcPr>
            <w:tcW w:w="876" w:type="dxa"/>
            <w:shd w:val="clear" w:color="000000" w:fill="E0E0E0"/>
            <w:vAlign w:val="center"/>
            <w:hideMark/>
          </w:tcPr>
          <w:p w14:paraId="04CE8A12"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Male</w:t>
            </w:r>
          </w:p>
        </w:tc>
        <w:tc>
          <w:tcPr>
            <w:tcW w:w="1164" w:type="dxa"/>
            <w:shd w:val="clear" w:color="000000" w:fill="F9F9FB"/>
            <w:vAlign w:val="center"/>
            <w:hideMark/>
          </w:tcPr>
          <w:p w14:paraId="0293967B"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80</w:t>
            </w:r>
          </w:p>
        </w:tc>
        <w:tc>
          <w:tcPr>
            <w:tcW w:w="894" w:type="dxa"/>
            <w:shd w:val="clear" w:color="000000" w:fill="F9F9FB"/>
            <w:vAlign w:val="center"/>
            <w:hideMark/>
          </w:tcPr>
          <w:p w14:paraId="73009A2A"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58</w:t>
            </w:r>
          </w:p>
        </w:tc>
        <w:tc>
          <w:tcPr>
            <w:tcW w:w="894" w:type="dxa"/>
            <w:shd w:val="clear" w:color="000000" w:fill="F9F9FB"/>
            <w:vAlign w:val="center"/>
            <w:hideMark/>
          </w:tcPr>
          <w:p w14:paraId="792720E9"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58</w:t>
            </w:r>
          </w:p>
        </w:tc>
        <w:tc>
          <w:tcPr>
            <w:tcW w:w="1231" w:type="dxa"/>
            <w:shd w:val="clear" w:color="000000" w:fill="F9F9FB"/>
            <w:vAlign w:val="center"/>
            <w:hideMark/>
          </w:tcPr>
          <w:p w14:paraId="6D2691E3"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58</w:t>
            </w:r>
          </w:p>
        </w:tc>
      </w:tr>
      <w:tr w:rsidR="00E367A2" w:rsidRPr="00E367A2" w14:paraId="25873FE1" w14:textId="77777777" w:rsidTr="00E367A2">
        <w:trPr>
          <w:trHeight w:val="58"/>
          <w:jc w:val="center"/>
        </w:trPr>
        <w:tc>
          <w:tcPr>
            <w:tcW w:w="701" w:type="dxa"/>
            <w:vMerge/>
            <w:vAlign w:val="center"/>
            <w:hideMark/>
          </w:tcPr>
          <w:p w14:paraId="505E87EC"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p>
        </w:tc>
        <w:tc>
          <w:tcPr>
            <w:tcW w:w="876" w:type="dxa"/>
            <w:shd w:val="clear" w:color="000000" w:fill="E0E0E0"/>
            <w:vAlign w:val="center"/>
            <w:hideMark/>
          </w:tcPr>
          <w:p w14:paraId="559136BC"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Female</w:t>
            </w:r>
          </w:p>
        </w:tc>
        <w:tc>
          <w:tcPr>
            <w:tcW w:w="1164" w:type="dxa"/>
            <w:shd w:val="clear" w:color="000000" w:fill="F9F9FB"/>
            <w:vAlign w:val="center"/>
            <w:hideMark/>
          </w:tcPr>
          <w:p w14:paraId="3EEDA782"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58</w:t>
            </w:r>
          </w:p>
        </w:tc>
        <w:tc>
          <w:tcPr>
            <w:tcW w:w="894" w:type="dxa"/>
            <w:shd w:val="clear" w:color="000000" w:fill="F9F9FB"/>
            <w:vAlign w:val="center"/>
            <w:hideMark/>
          </w:tcPr>
          <w:p w14:paraId="3E3FFE91"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42</w:t>
            </w:r>
          </w:p>
        </w:tc>
        <w:tc>
          <w:tcPr>
            <w:tcW w:w="894" w:type="dxa"/>
            <w:shd w:val="clear" w:color="000000" w:fill="F9F9FB"/>
            <w:vAlign w:val="center"/>
            <w:hideMark/>
          </w:tcPr>
          <w:p w14:paraId="3815E06F"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42</w:t>
            </w:r>
          </w:p>
        </w:tc>
        <w:tc>
          <w:tcPr>
            <w:tcW w:w="1231" w:type="dxa"/>
            <w:shd w:val="clear" w:color="000000" w:fill="F9F9FB"/>
            <w:vAlign w:val="center"/>
            <w:hideMark/>
          </w:tcPr>
          <w:p w14:paraId="3A4FE169"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100</w:t>
            </w:r>
          </w:p>
        </w:tc>
      </w:tr>
      <w:tr w:rsidR="00E367A2" w:rsidRPr="00E367A2" w14:paraId="460880B0" w14:textId="77777777" w:rsidTr="00E367A2">
        <w:trPr>
          <w:trHeight w:val="58"/>
          <w:jc w:val="center"/>
        </w:trPr>
        <w:tc>
          <w:tcPr>
            <w:tcW w:w="701" w:type="dxa"/>
            <w:vMerge/>
            <w:vAlign w:val="center"/>
            <w:hideMark/>
          </w:tcPr>
          <w:p w14:paraId="50AA6032"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p>
        </w:tc>
        <w:tc>
          <w:tcPr>
            <w:tcW w:w="876" w:type="dxa"/>
            <w:shd w:val="clear" w:color="000000" w:fill="E0E0E0"/>
            <w:vAlign w:val="center"/>
            <w:hideMark/>
          </w:tcPr>
          <w:p w14:paraId="3339469D"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Total</w:t>
            </w:r>
          </w:p>
        </w:tc>
        <w:tc>
          <w:tcPr>
            <w:tcW w:w="1164" w:type="dxa"/>
            <w:shd w:val="clear" w:color="000000" w:fill="F9F9FB"/>
            <w:vAlign w:val="center"/>
            <w:hideMark/>
          </w:tcPr>
          <w:p w14:paraId="3756D6D1"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138</w:t>
            </w:r>
          </w:p>
        </w:tc>
        <w:tc>
          <w:tcPr>
            <w:tcW w:w="894" w:type="dxa"/>
            <w:shd w:val="clear" w:color="000000" w:fill="F9F9FB"/>
            <w:vAlign w:val="center"/>
            <w:hideMark/>
          </w:tcPr>
          <w:p w14:paraId="197BEB57"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100</w:t>
            </w:r>
          </w:p>
        </w:tc>
        <w:tc>
          <w:tcPr>
            <w:tcW w:w="894" w:type="dxa"/>
            <w:shd w:val="clear" w:color="000000" w:fill="F9F9FB"/>
            <w:vAlign w:val="center"/>
            <w:hideMark/>
          </w:tcPr>
          <w:p w14:paraId="42003329" w14:textId="77777777"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r w:rsidRPr="00E367A2">
              <w:rPr>
                <w:rFonts w:ascii="Times New Roman" w:eastAsia="Arial" w:hAnsi="Times New Roman" w:cs="Times New Roman"/>
                <w:kern w:val="0"/>
                <w:sz w:val="20"/>
                <w:szCs w:val="20"/>
                <w14:ligatures w14:val="none"/>
              </w:rPr>
              <w:t>100</w:t>
            </w:r>
          </w:p>
        </w:tc>
        <w:tc>
          <w:tcPr>
            <w:tcW w:w="1231" w:type="dxa"/>
            <w:shd w:val="clear" w:color="000000" w:fill="F9F9FB"/>
            <w:vAlign w:val="center"/>
            <w:hideMark/>
          </w:tcPr>
          <w:p w14:paraId="1CB77B79" w14:textId="41AFEFFC" w:rsidR="00FA7076" w:rsidRPr="00E367A2" w:rsidRDefault="00FA7076" w:rsidP="00E367A2">
            <w:pPr>
              <w:spacing w:after="0" w:line="240" w:lineRule="auto"/>
              <w:contextualSpacing/>
              <w:jc w:val="both"/>
              <w:rPr>
                <w:rFonts w:ascii="Times New Roman" w:eastAsia="Times New Roman" w:hAnsi="Times New Roman" w:cs="Times New Roman"/>
                <w:kern w:val="0"/>
                <w:sz w:val="20"/>
                <w:szCs w:val="20"/>
                <w14:ligatures w14:val="none"/>
              </w:rPr>
            </w:pPr>
          </w:p>
        </w:tc>
      </w:tr>
    </w:tbl>
    <w:p w14:paraId="0C5ACC7F"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17CD335C" wp14:editId="49560FF6">
            <wp:extent cx="4206240" cy="2308860"/>
            <wp:effectExtent l="0" t="0" r="3810" b="15240"/>
            <wp:docPr id="1800764784" name="Chart 1">
              <a:extLst xmlns:a="http://schemas.openxmlformats.org/drawingml/2006/main">
                <a:ext uri="{FF2B5EF4-FFF2-40B4-BE49-F238E27FC236}">
                  <a16:creationId xmlns:a16="http://schemas.microsoft.com/office/drawing/2014/main" id="{604F69AA-A1BF-5A17-DFFF-A181374A4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15DA65" w14:textId="77777777" w:rsidR="00E367A2" w:rsidRPr="00E367A2" w:rsidRDefault="00E367A2" w:rsidP="0029066D">
      <w:pPr>
        <w:spacing w:before="120" w:after="0" w:line="276" w:lineRule="auto"/>
        <w:jc w:val="both"/>
        <w:rPr>
          <w:rFonts w:ascii="Times New Roman" w:hAnsi="Times New Roman" w:cs="Times New Roman"/>
          <w:b/>
          <w:bCs/>
          <w:sz w:val="20"/>
          <w:szCs w:val="20"/>
        </w:rPr>
      </w:pPr>
    </w:p>
    <w:p w14:paraId="7B1AA4E4"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1263DFA2" w14:textId="05AF1DC6"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1C8705DF" w14:textId="70070E7B"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gender distribution shows that out of 138 respondents, 80 (58%) are male and 58 (42%) are </w:t>
      </w:r>
      <w:r w:rsidRPr="00E367A2">
        <w:rPr>
          <w:rFonts w:ascii="Times New Roman" w:hAnsi="Times New Roman" w:cs="Times New Roman"/>
          <w:sz w:val="20"/>
          <w:szCs w:val="20"/>
        </w:rPr>
        <w:t>female. This indicates a slightly male-dominated sample, though both genders are reasonably represented for analysis.</w:t>
      </w:r>
    </w:p>
    <w:p w14:paraId="4834C733"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02F90273" w14:textId="2F7206F7" w:rsidR="00FA7076" w:rsidRPr="00E367A2" w:rsidRDefault="002C2995"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3.Education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33"/>
        <w:gridCol w:w="1819"/>
        <w:gridCol w:w="1207"/>
        <w:gridCol w:w="1156"/>
        <w:gridCol w:w="1462"/>
        <w:gridCol w:w="1666"/>
      </w:tblGrid>
      <w:tr w:rsidR="00E367A2" w:rsidRPr="00E367A2" w14:paraId="0EF1855D" w14:textId="77777777" w:rsidTr="00E367A2">
        <w:trPr>
          <w:jc w:val="center"/>
        </w:trPr>
        <w:tc>
          <w:tcPr>
            <w:tcW w:w="8143" w:type="dxa"/>
            <w:gridSpan w:val="6"/>
            <w:shd w:val="clear" w:color="auto" w:fill="FFFFFF"/>
            <w:vAlign w:val="center"/>
          </w:tcPr>
          <w:p w14:paraId="25DF9F5D"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EDUCATION</w:t>
            </w:r>
          </w:p>
        </w:tc>
      </w:tr>
      <w:tr w:rsidR="00E367A2" w:rsidRPr="00E367A2" w14:paraId="2291312B" w14:textId="77777777" w:rsidTr="00E367A2">
        <w:trPr>
          <w:jc w:val="center"/>
        </w:trPr>
        <w:tc>
          <w:tcPr>
            <w:tcW w:w="2652" w:type="dxa"/>
            <w:gridSpan w:val="2"/>
            <w:shd w:val="clear" w:color="auto" w:fill="FFFFFF"/>
            <w:vAlign w:val="bottom"/>
          </w:tcPr>
          <w:p w14:paraId="6295EB58"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207" w:type="dxa"/>
            <w:shd w:val="clear" w:color="auto" w:fill="FFFFFF"/>
            <w:vAlign w:val="bottom"/>
          </w:tcPr>
          <w:p w14:paraId="2C726F6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shd w:val="clear" w:color="auto" w:fill="FFFFFF"/>
            <w:vAlign w:val="bottom"/>
          </w:tcPr>
          <w:p w14:paraId="3D28937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shd w:val="clear" w:color="auto" w:fill="FFFFFF"/>
            <w:vAlign w:val="bottom"/>
          </w:tcPr>
          <w:p w14:paraId="58AF10C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shd w:val="clear" w:color="auto" w:fill="FFFFFF"/>
            <w:vAlign w:val="bottom"/>
          </w:tcPr>
          <w:p w14:paraId="4F23917C"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09565A31" w14:textId="77777777" w:rsidTr="00E367A2">
        <w:trPr>
          <w:jc w:val="center"/>
        </w:trPr>
        <w:tc>
          <w:tcPr>
            <w:tcW w:w="833" w:type="dxa"/>
            <w:vMerge w:val="restart"/>
            <w:shd w:val="clear" w:color="auto" w:fill="E0E0E0"/>
          </w:tcPr>
          <w:p w14:paraId="37180069"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lastRenderedPageBreak/>
              <w:t>Valid</w:t>
            </w:r>
          </w:p>
        </w:tc>
        <w:tc>
          <w:tcPr>
            <w:tcW w:w="1819" w:type="dxa"/>
            <w:shd w:val="clear" w:color="auto" w:fill="E0E0E0"/>
          </w:tcPr>
          <w:p w14:paraId="2ED4820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High School</w:t>
            </w:r>
          </w:p>
        </w:tc>
        <w:tc>
          <w:tcPr>
            <w:tcW w:w="1207" w:type="dxa"/>
            <w:shd w:val="clear" w:color="auto" w:fill="F9F9FB"/>
          </w:tcPr>
          <w:p w14:paraId="298E189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w:t>
            </w:r>
          </w:p>
        </w:tc>
        <w:tc>
          <w:tcPr>
            <w:tcW w:w="1156" w:type="dxa"/>
            <w:shd w:val="clear" w:color="auto" w:fill="F9F9FB"/>
          </w:tcPr>
          <w:p w14:paraId="4B5354D1"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72.5</w:t>
            </w:r>
          </w:p>
        </w:tc>
        <w:tc>
          <w:tcPr>
            <w:tcW w:w="1462" w:type="dxa"/>
            <w:shd w:val="clear" w:color="auto" w:fill="F9F9FB"/>
          </w:tcPr>
          <w:p w14:paraId="56E9B39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72.5</w:t>
            </w:r>
          </w:p>
        </w:tc>
        <w:tc>
          <w:tcPr>
            <w:tcW w:w="1666" w:type="dxa"/>
            <w:shd w:val="clear" w:color="auto" w:fill="F9F9FB"/>
          </w:tcPr>
          <w:p w14:paraId="5E9B5D4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72.5</w:t>
            </w:r>
          </w:p>
        </w:tc>
      </w:tr>
      <w:tr w:rsidR="00E367A2" w:rsidRPr="00E367A2" w14:paraId="07CB43A1" w14:textId="77777777" w:rsidTr="00E367A2">
        <w:trPr>
          <w:jc w:val="center"/>
        </w:trPr>
        <w:tc>
          <w:tcPr>
            <w:tcW w:w="833" w:type="dxa"/>
            <w:vMerge/>
          </w:tcPr>
          <w:p w14:paraId="50CEC4C5"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819" w:type="dxa"/>
            <w:shd w:val="clear" w:color="auto" w:fill="E0E0E0"/>
          </w:tcPr>
          <w:p w14:paraId="275F9189" w14:textId="0AFA5C34" w:rsidR="00FA7076" w:rsidRPr="00E367A2" w:rsidRDefault="006A6413"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Bachelor’s</w:t>
            </w:r>
            <w:r w:rsidR="00FA7076" w:rsidRPr="00E367A2">
              <w:rPr>
                <w:rFonts w:ascii="Times New Roman" w:eastAsia="Arial" w:hAnsi="Times New Roman" w:cs="Times New Roman"/>
                <w:sz w:val="20"/>
                <w:szCs w:val="20"/>
              </w:rPr>
              <w:t xml:space="preserve"> Degree</w:t>
            </w:r>
          </w:p>
        </w:tc>
        <w:tc>
          <w:tcPr>
            <w:tcW w:w="1207" w:type="dxa"/>
            <w:shd w:val="clear" w:color="auto" w:fill="F9F9FB"/>
          </w:tcPr>
          <w:p w14:paraId="185EF1B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38</w:t>
            </w:r>
          </w:p>
        </w:tc>
        <w:tc>
          <w:tcPr>
            <w:tcW w:w="1156" w:type="dxa"/>
            <w:shd w:val="clear" w:color="auto" w:fill="F9F9FB"/>
          </w:tcPr>
          <w:p w14:paraId="0D6ABA44"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462" w:type="dxa"/>
            <w:shd w:val="clear" w:color="auto" w:fill="F9F9FB"/>
          </w:tcPr>
          <w:p w14:paraId="5278879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666" w:type="dxa"/>
            <w:shd w:val="clear" w:color="auto" w:fill="F9F9FB"/>
          </w:tcPr>
          <w:p w14:paraId="74F5766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67DB6796" w14:textId="77777777" w:rsidTr="00E367A2">
        <w:trPr>
          <w:jc w:val="center"/>
        </w:trPr>
        <w:tc>
          <w:tcPr>
            <w:tcW w:w="833" w:type="dxa"/>
            <w:vMerge/>
          </w:tcPr>
          <w:p w14:paraId="1BEE299E"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819" w:type="dxa"/>
            <w:shd w:val="clear" w:color="auto" w:fill="E0E0E0"/>
          </w:tcPr>
          <w:p w14:paraId="1ABF59BC"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shd w:val="clear" w:color="auto" w:fill="F9F9FB"/>
          </w:tcPr>
          <w:p w14:paraId="39E231C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shd w:val="clear" w:color="auto" w:fill="F9F9FB"/>
          </w:tcPr>
          <w:p w14:paraId="359C66C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shd w:val="clear" w:color="auto" w:fill="F9F9FB"/>
          </w:tcPr>
          <w:p w14:paraId="4C1F9EB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shd w:val="clear" w:color="auto" w:fill="F9F9FB"/>
          </w:tcPr>
          <w:p w14:paraId="74186B5B"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r>
    </w:tbl>
    <w:p w14:paraId="156DE947"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200B486F" wp14:editId="0248670C">
            <wp:extent cx="5067300" cy="2628900"/>
            <wp:effectExtent l="0" t="0" r="0" b="0"/>
            <wp:docPr id="994065369" name="Chart 1">
              <a:extLst xmlns:a="http://schemas.openxmlformats.org/drawingml/2006/main">
                <a:ext uri="{FF2B5EF4-FFF2-40B4-BE49-F238E27FC236}">
                  <a16:creationId xmlns:a16="http://schemas.microsoft.com/office/drawing/2014/main" id="{3E916371-9D06-4995-3107-08A25BE23E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71D84B"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349B009E"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39736D3D" w14:textId="77777777"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education chart shows that the majority of respondents (approximately 110) have completed </w:t>
      </w:r>
      <w:r w:rsidRPr="00E367A2">
        <w:rPr>
          <w:rFonts w:ascii="Times New Roman" w:hAnsi="Times New Roman" w:cs="Times New Roman"/>
          <w:sz w:val="20"/>
          <w:szCs w:val="20"/>
        </w:rPr>
        <w:t>high school, while around 50 hold a bachelor's degree. This indicates a predominantly high school-educated sample, reflecting early academic stages or pre-university status.</w:t>
      </w:r>
    </w:p>
    <w:p w14:paraId="488395E7" w14:textId="77777777" w:rsidR="00A61429" w:rsidRDefault="00A61429" w:rsidP="00E367A2">
      <w:pPr>
        <w:spacing w:after="0" w:line="240" w:lineRule="auto"/>
        <w:contextualSpacing/>
        <w:jc w:val="both"/>
        <w:rPr>
          <w:rFonts w:ascii="Times New Roman" w:eastAsia="Arial"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tbl>
      <w:tblPr>
        <w:tblpPr w:leftFromText="180" w:rightFromText="180" w:vertAnchor="text" w:horzAnchor="margin" w:tblpXSpec="center"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33"/>
        <w:gridCol w:w="1581"/>
        <w:gridCol w:w="1207"/>
        <w:gridCol w:w="1156"/>
        <w:gridCol w:w="1462"/>
        <w:gridCol w:w="1666"/>
      </w:tblGrid>
      <w:tr w:rsidR="00E367A2" w:rsidRPr="00E367A2" w14:paraId="5A733CB5" w14:textId="77777777" w:rsidTr="00E367A2">
        <w:tc>
          <w:tcPr>
            <w:tcW w:w="7905" w:type="dxa"/>
            <w:gridSpan w:val="6"/>
            <w:shd w:val="clear" w:color="auto" w:fill="FFFFFF"/>
            <w:vAlign w:val="center"/>
          </w:tcPr>
          <w:p w14:paraId="1C328DB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OCCUPATION</w:t>
            </w:r>
          </w:p>
        </w:tc>
      </w:tr>
      <w:tr w:rsidR="00E367A2" w:rsidRPr="00E367A2" w14:paraId="6B17CDF0" w14:textId="77777777" w:rsidTr="00E367A2">
        <w:tc>
          <w:tcPr>
            <w:tcW w:w="2414" w:type="dxa"/>
            <w:gridSpan w:val="2"/>
            <w:shd w:val="clear" w:color="auto" w:fill="FFFFFF"/>
            <w:vAlign w:val="bottom"/>
          </w:tcPr>
          <w:p w14:paraId="11ECD16F"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207" w:type="dxa"/>
            <w:shd w:val="clear" w:color="auto" w:fill="FFFFFF"/>
            <w:vAlign w:val="bottom"/>
          </w:tcPr>
          <w:p w14:paraId="452B557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shd w:val="clear" w:color="auto" w:fill="FFFFFF"/>
            <w:vAlign w:val="bottom"/>
          </w:tcPr>
          <w:p w14:paraId="2A7A43F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shd w:val="clear" w:color="auto" w:fill="FFFFFF"/>
            <w:vAlign w:val="bottom"/>
          </w:tcPr>
          <w:p w14:paraId="2F8D579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shd w:val="clear" w:color="auto" w:fill="FFFFFF"/>
            <w:vAlign w:val="bottom"/>
          </w:tcPr>
          <w:p w14:paraId="5C66B41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3CF67CE3" w14:textId="77777777" w:rsidTr="00E367A2">
        <w:tc>
          <w:tcPr>
            <w:tcW w:w="833" w:type="dxa"/>
            <w:vMerge w:val="restart"/>
            <w:shd w:val="clear" w:color="auto" w:fill="E0E0E0"/>
          </w:tcPr>
          <w:p w14:paraId="0B446C7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581" w:type="dxa"/>
            <w:shd w:val="clear" w:color="auto" w:fill="E0E0E0"/>
          </w:tcPr>
          <w:p w14:paraId="5B0304CC"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Student</w:t>
            </w:r>
          </w:p>
        </w:tc>
        <w:tc>
          <w:tcPr>
            <w:tcW w:w="1207" w:type="dxa"/>
            <w:shd w:val="clear" w:color="auto" w:fill="F9F9FB"/>
          </w:tcPr>
          <w:p w14:paraId="1DDBFCF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98</w:t>
            </w:r>
          </w:p>
        </w:tc>
        <w:tc>
          <w:tcPr>
            <w:tcW w:w="1156" w:type="dxa"/>
            <w:shd w:val="clear" w:color="auto" w:fill="F9F9FB"/>
          </w:tcPr>
          <w:p w14:paraId="1B83ACE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71.0</w:t>
            </w:r>
          </w:p>
        </w:tc>
        <w:tc>
          <w:tcPr>
            <w:tcW w:w="1462" w:type="dxa"/>
            <w:shd w:val="clear" w:color="auto" w:fill="F9F9FB"/>
          </w:tcPr>
          <w:p w14:paraId="258CDD5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71.0</w:t>
            </w:r>
          </w:p>
        </w:tc>
        <w:tc>
          <w:tcPr>
            <w:tcW w:w="1666" w:type="dxa"/>
            <w:shd w:val="clear" w:color="auto" w:fill="F9F9FB"/>
          </w:tcPr>
          <w:p w14:paraId="2814B1D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71.0</w:t>
            </w:r>
          </w:p>
        </w:tc>
      </w:tr>
      <w:tr w:rsidR="00E367A2" w:rsidRPr="00E367A2" w14:paraId="4FCAB841" w14:textId="77777777" w:rsidTr="00E367A2">
        <w:tc>
          <w:tcPr>
            <w:tcW w:w="833" w:type="dxa"/>
            <w:vMerge/>
          </w:tcPr>
          <w:p w14:paraId="5721E1C3"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581" w:type="dxa"/>
            <w:shd w:val="clear" w:color="auto" w:fill="E0E0E0"/>
          </w:tcPr>
          <w:p w14:paraId="49DED2C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Employed</w:t>
            </w:r>
          </w:p>
        </w:tc>
        <w:tc>
          <w:tcPr>
            <w:tcW w:w="1207" w:type="dxa"/>
            <w:shd w:val="clear" w:color="auto" w:fill="F9F9FB"/>
          </w:tcPr>
          <w:p w14:paraId="0447F29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30</w:t>
            </w:r>
          </w:p>
        </w:tc>
        <w:tc>
          <w:tcPr>
            <w:tcW w:w="1156" w:type="dxa"/>
            <w:shd w:val="clear" w:color="auto" w:fill="F9F9FB"/>
          </w:tcPr>
          <w:p w14:paraId="5732080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21.7</w:t>
            </w:r>
          </w:p>
        </w:tc>
        <w:tc>
          <w:tcPr>
            <w:tcW w:w="1462" w:type="dxa"/>
            <w:shd w:val="clear" w:color="auto" w:fill="F9F9FB"/>
          </w:tcPr>
          <w:p w14:paraId="356A125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21.7</w:t>
            </w:r>
          </w:p>
        </w:tc>
        <w:tc>
          <w:tcPr>
            <w:tcW w:w="1666" w:type="dxa"/>
            <w:shd w:val="clear" w:color="auto" w:fill="F9F9FB"/>
          </w:tcPr>
          <w:p w14:paraId="414D5BE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92.8</w:t>
            </w:r>
          </w:p>
        </w:tc>
      </w:tr>
      <w:tr w:rsidR="00E367A2" w:rsidRPr="00E367A2" w14:paraId="12767940" w14:textId="77777777" w:rsidTr="00E367A2">
        <w:tc>
          <w:tcPr>
            <w:tcW w:w="833" w:type="dxa"/>
            <w:vMerge/>
          </w:tcPr>
          <w:p w14:paraId="2F0B7692"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581" w:type="dxa"/>
            <w:shd w:val="clear" w:color="auto" w:fill="E0E0E0"/>
          </w:tcPr>
          <w:p w14:paraId="65D09A8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Self Employed</w:t>
            </w:r>
          </w:p>
        </w:tc>
        <w:tc>
          <w:tcPr>
            <w:tcW w:w="1207" w:type="dxa"/>
            <w:shd w:val="clear" w:color="auto" w:fill="F9F9FB"/>
          </w:tcPr>
          <w:p w14:paraId="0EC4FE91"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w:t>
            </w:r>
          </w:p>
        </w:tc>
        <w:tc>
          <w:tcPr>
            <w:tcW w:w="1156" w:type="dxa"/>
            <w:shd w:val="clear" w:color="auto" w:fill="F9F9FB"/>
          </w:tcPr>
          <w:p w14:paraId="3666CC21"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462" w:type="dxa"/>
            <w:shd w:val="clear" w:color="auto" w:fill="F9F9FB"/>
          </w:tcPr>
          <w:p w14:paraId="20B1E47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666" w:type="dxa"/>
            <w:shd w:val="clear" w:color="auto" w:fill="F9F9FB"/>
          </w:tcPr>
          <w:p w14:paraId="63962781"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97.1</w:t>
            </w:r>
          </w:p>
        </w:tc>
      </w:tr>
      <w:tr w:rsidR="00E367A2" w:rsidRPr="00E367A2" w14:paraId="44B791AE" w14:textId="77777777" w:rsidTr="00E367A2">
        <w:tc>
          <w:tcPr>
            <w:tcW w:w="833" w:type="dxa"/>
            <w:vMerge/>
          </w:tcPr>
          <w:p w14:paraId="6616499D"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581" w:type="dxa"/>
            <w:shd w:val="clear" w:color="auto" w:fill="E0E0E0"/>
          </w:tcPr>
          <w:p w14:paraId="0013032D"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Unemployed</w:t>
            </w:r>
          </w:p>
        </w:tc>
        <w:tc>
          <w:tcPr>
            <w:tcW w:w="1207" w:type="dxa"/>
            <w:shd w:val="clear" w:color="auto" w:fill="F9F9FB"/>
          </w:tcPr>
          <w:p w14:paraId="746D817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156" w:type="dxa"/>
            <w:shd w:val="clear" w:color="auto" w:fill="F9F9FB"/>
          </w:tcPr>
          <w:p w14:paraId="280D250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462" w:type="dxa"/>
            <w:shd w:val="clear" w:color="auto" w:fill="F9F9FB"/>
          </w:tcPr>
          <w:p w14:paraId="1B51460C"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666" w:type="dxa"/>
            <w:shd w:val="clear" w:color="auto" w:fill="F9F9FB"/>
          </w:tcPr>
          <w:p w14:paraId="17F8F40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09C9693C" w14:textId="77777777" w:rsidTr="00E367A2">
        <w:tc>
          <w:tcPr>
            <w:tcW w:w="833" w:type="dxa"/>
            <w:vMerge/>
          </w:tcPr>
          <w:p w14:paraId="515C9CD2"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581" w:type="dxa"/>
            <w:shd w:val="clear" w:color="auto" w:fill="E0E0E0"/>
          </w:tcPr>
          <w:p w14:paraId="68F9119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shd w:val="clear" w:color="auto" w:fill="F9F9FB"/>
          </w:tcPr>
          <w:p w14:paraId="36256809"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shd w:val="clear" w:color="auto" w:fill="F9F9FB"/>
          </w:tcPr>
          <w:p w14:paraId="5414FD5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shd w:val="clear" w:color="auto" w:fill="F9F9FB"/>
          </w:tcPr>
          <w:p w14:paraId="44486EF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shd w:val="clear" w:color="auto" w:fill="F9F9FB"/>
          </w:tcPr>
          <w:p w14:paraId="29D5CA94"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r>
    </w:tbl>
    <w:p w14:paraId="0ED6D1A1" w14:textId="6490B8F4" w:rsidR="00FA7076" w:rsidRPr="00E367A2" w:rsidRDefault="002C2995"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4.Occupation </w:t>
      </w:r>
    </w:p>
    <w:p w14:paraId="6234D51E"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1FE0D29E"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0EFCAE66"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0EBB3EF9"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406B879C"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08E379EB"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19C8EF23"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05BCA468" wp14:editId="47442E5C">
            <wp:extent cx="4618892" cy="1969477"/>
            <wp:effectExtent l="0" t="0" r="10795" b="12065"/>
            <wp:docPr id="1818005308" name="Chart 1">
              <a:extLst xmlns:a="http://schemas.openxmlformats.org/drawingml/2006/main">
                <a:ext uri="{FF2B5EF4-FFF2-40B4-BE49-F238E27FC236}">
                  <a16:creationId xmlns:a16="http://schemas.microsoft.com/office/drawing/2014/main" id="{E275F8AE-13EE-534F-938B-0B0728D8D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673930"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6A0AF0D1" w14:textId="77777777" w:rsidR="00A61429" w:rsidRDefault="00A61429" w:rsidP="0029066D">
      <w:pPr>
        <w:spacing w:before="120" w:after="0" w:line="276" w:lineRule="auto"/>
        <w:jc w:val="both"/>
        <w:rPr>
          <w:rFonts w:ascii="Times New Roman" w:hAnsi="Times New Roman" w:cs="Times New Roman"/>
          <w:b/>
          <w:bCs/>
          <w:sz w:val="20"/>
          <w:szCs w:val="20"/>
        </w:rPr>
      </w:pPr>
    </w:p>
    <w:p w14:paraId="720FF553" w14:textId="77777777" w:rsidR="00A61429" w:rsidRDefault="00A61429" w:rsidP="0029066D">
      <w:pPr>
        <w:spacing w:before="120" w:after="0" w:line="276" w:lineRule="auto"/>
        <w:jc w:val="both"/>
        <w:rPr>
          <w:rFonts w:ascii="Times New Roman" w:hAnsi="Times New Roman" w:cs="Times New Roman"/>
          <w:b/>
          <w:bCs/>
          <w:sz w:val="20"/>
          <w:szCs w:val="20"/>
        </w:rPr>
      </w:pPr>
    </w:p>
    <w:p w14:paraId="01D2E4F4" w14:textId="40C5746B"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lastRenderedPageBreak/>
        <w:t>Interpretation-</w:t>
      </w:r>
    </w:p>
    <w:p w14:paraId="12A60C35"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sz w:val="20"/>
          <w:szCs w:val="20"/>
        </w:rPr>
        <w:t xml:space="preserve">The occupation data reveals that the majority of respondents are students (71%), followed by employed individuals (21.7%). A smaller portion is </w:t>
      </w:r>
      <w:r w:rsidRPr="00E367A2">
        <w:rPr>
          <w:rFonts w:ascii="Times New Roman" w:hAnsi="Times New Roman" w:cs="Times New Roman"/>
          <w:sz w:val="20"/>
          <w:szCs w:val="20"/>
        </w:rPr>
        <w:t>self-employed (4.3%) and unemployed (2.9%). This student-dominant sample suggests insights will mainly reflect the views of those currently in education</w:t>
      </w:r>
      <w:r w:rsidRPr="00E367A2">
        <w:rPr>
          <w:rFonts w:ascii="Times New Roman" w:hAnsi="Times New Roman" w:cs="Times New Roman"/>
          <w:b/>
          <w:bCs/>
          <w:sz w:val="20"/>
          <w:szCs w:val="20"/>
        </w:rPr>
        <w:t>.</w:t>
      </w:r>
    </w:p>
    <w:p w14:paraId="2009E3B8"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num="2" w:space="708"/>
          <w:docGrid w:linePitch="360"/>
        </w:sectPr>
      </w:pPr>
    </w:p>
    <w:p w14:paraId="30B1F4D1" w14:textId="53143657" w:rsidR="00FA7076" w:rsidRPr="00E367A2" w:rsidRDefault="002C2995"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 xml:space="preserve">5.Income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33"/>
        <w:gridCol w:w="1496"/>
        <w:gridCol w:w="1207"/>
        <w:gridCol w:w="1156"/>
        <w:gridCol w:w="1462"/>
        <w:gridCol w:w="1666"/>
      </w:tblGrid>
      <w:tr w:rsidR="00E367A2" w:rsidRPr="00E367A2" w14:paraId="30ED49F4" w14:textId="77777777" w:rsidTr="00E367A2">
        <w:trPr>
          <w:jc w:val="center"/>
        </w:trPr>
        <w:tc>
          <w:tcPr>
            <w:tcW w:w="7820" w:type="dxa"/>
            <w:gridSpan w:val="6"/>
            <w:shd w:val="clear" w:color="auto" w:fill="FFFFFF"/>
            <w:vAlign w:val="center"/>
          </w:tcPr>
          <w:p w14:paraId="3609CC3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INCOME</w:t>
            </w:r>
          </w:p>
        </w:tc>
      </w:tr>
      <w:tr w:rsidR="00E367A2" w:rsidRPr="00E367A2" w14:paraId="4DFAF519" w14:textId="77777777" w:rsidTr="00E367A2">
        <w:trPr>
          <w:jc w:val="center"/>
        </w:trPr>
        <w:tc>
          <w:tcPr>
            <w:tcW w:w="2329" w:type="dxa"/>
            <w:gridSpan w:val="2"/>
            <w:shd w:val="clear" w:color="auto" w:fill="FFFFFF"/>
            <w:vAlign w:val="bottom"/>
          </w:tcPr>
          <w:p w14:paraId="1A3AF0E8"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207" w:type="dxa"/>
            <w:shd w:val="clear" w:color="auto" w:fill="FFFFFF"/>
            <w:vAlign w:val="bottom"/>
          </w:tcPr>
          <w:p w14:paraId="6238B0E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shd w:val="clear" w:color="auto" w:fill="FFFFFF"/>
            <w:vAlign w:val="bottom"/>
          </w:tcPr>
          <w:p w14:paraId="33E73F5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shd w:val="clear" w:color="auto" w:fill="FFFFFF"/>
            <w:vAlign w:val="bottom"/>
          </w:tcPr>
          <w:p w14:paraId="4976F4D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shd w:val="clear" w:color="auto" w:fill="FFFFFF"/>
            <w:vAlign w:val="bottom"/>
          </w:tcPr>
          <w:p w14:paraId="739C4B2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09353920" w14:textId="77777777" w:rsidTr="00E367A2">
        <w:trPr>
          <w:jc w:val="center"/>
        </w:trPr>
        <w:tc>
          <w:tcPr>
            <w:tcW w:w="833" w:type="dxa"/>
            <w:vMerge w:val="restart"/>
            <w:shd w:val="clear" w:color="auto" w:fill="E0E0E0"/>
          </w:tcPr>
          <w:p w14:paraId="2F999E4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496" w:type="dxa"/>
            <w:shd w:val="clear" w:color="auto" w:fill="E0E0E0"/>
          </w:tcPr>
          <w:p w14:paraId="33597CE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No Income</w:t>
            </w:r>
          </w:p>
        </w:tc>
        <w:tc>
          <w:tcPr>
            <w:tcW w:w="1207" w:type="dxa"/>
            <w:shd w:val="clear" w:color="auto" w:fill="F9F9FB"/>
          </w:tcPr>
          <w:p w14:paraId="0B19A0D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86</w:t>
            </w:r>
          </w:p>
        </w:tc>
        <w:tc>
          <w:tcPr>
            <w:tcW w:w="1156" w:type="dxa"/>
            <w:shd w:val="clear" w:color="auto" w:fill="F9F9FB"/>
          </w:tcPr>
          <w:p w14:paraId="713BC8F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62.3</w:t>
            </w:r>
          </w:p>
        </w:tc>
        <w:tc>
          <w:tcPr>
            <w:tcW w:w="1462" w:type="dxa"/>
            <w:shd w:val="clear" w:color="auto" w:fill="F9F9FB"/>
          </w:tcPr>
          <w:p w14:paraId="1D99B7C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62.3</w:t>
            </w:r>
          </w:p>
        </w:tc>
        <w:tc>
          <w:tcPr>
            <w:tcW w:w="1666" w:type="dxa"/>
            <w:shd w:val="clear" w:color="auto" w:fill="F9F9FB"/>
          </w:tcPr>
          <w:p w14:paraId="2D2BED24"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62.3</w:t>
            </w:r>
          </w:p>
        </w:tc>
      </w:tr>
      <w:tr w:rsidR="00E367A2" w:rsidRPr="00E367A2" w14:paraId="27CA2929" w14:textId="77777777" w:rsidTr="00E367A2">
        <w:trPr>
          <w:jc w:val="center"/>
        </w:trPr>
        <w:tc>
          <w:tcPr>
            <w:tcW w:w="833" w:type="dxa"/>
            <w:vMerge/>
          </w:tcPr>
          <w:p w14:paraId="59DD3932"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496" w:type="dxa"/>
            <w:shd w:val="clear" w:color="auto" w:fill="E0E0E0"/>
          </w:tcPr>
          <w:p w14:paraId="16E8125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Below 10000</w:t>
            </w:r>
          </w:p>
        </w:tc>
        <w:tc>
          <w:tcPr>
            <w:tcW w:w="1207" w:type="dxa"/>
            <w:shd w:val="clear" w:color="auto" w:fill="F9F9FB"/>
          </w:tcPr>
          <w:p w14:paraId="6013C7D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42</w:t>
            </w:r>
          </w:p>
        </w:tc>
        <w:tc>
          <w:tcPr>
            <w:tcW w:w="1156" w:type="dxa"/>
            <w:shd w:val="clear" w:color="auto" w:fill="F9F9FB"/>
          </w:tcPr>
          <w:p w14:paraId="71E6DDE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30.4</w:t>
            </w:r>
          </w:p>
        </w:tc>
        <w:tc>
          <w:tcPr>
            <w:tcW w:w="1462" w:type="dxa"/>
            <w:shd w:val="clear" w:color="auto" w:fill="F9F9FB"/>
          </w:tcPr>
          <w:p w14:paraId="40DB8304"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30.4</w:t>
            </w:r>
          </w:p>
        </w:tc>
        <w:tc>
          <w:tcPr>
            <w:tcW w:w="1666" w:type="dxa"/>
            <w:shd w:val="clear" w:color="auto" w:fill="F9F9FB"/>
          </w:tcPr>
          <w:p w14:paraId="403E0EC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92.8</w:t>
            </w:r>
          </w:p>
        </w:tc>
      </w:tr>
      <w:tr w:rsidR="00E367A2" w:rsidRPr="00E367A2" w14:paraId="0C976177" w14:textId="77777777" w:rsidTr="00E367A2">
        <w:trPr>
          <w:jc w:val="center"/>
        </w:trPr>
        <w:tc>
          <w:tcPr>
            <w:tcW w:w="833" w:type="dxa"/>
            <w:vMerge/>
          </w:tcPr>
          <w:p w14:paraId="1199D234"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496" w:type="dxa"/>
            <w:shd w:val="clear" w:color="auto" w:fill="E0E0E0"/>
          </w:tcPr>
          <w:p w14:paraId="5521D33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10000-25000</w:t>
            </w:r>
          </w:p>
        </w:tc>
        <w:tc>
          <w:tcPr>
            <w:tcW w:w="1207" w:type="dxa"/>
            <w:shd w:val="clear" w:color="auto" w:fill="F9F9FB"/>
          </w:tcPr>
          <w:p w14:paraId="0DB15D1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w:t>
            </w:r>
          </w:p>
        </w:tc>
        <w:tc>
          <w:tcPr>
            <w:tcW w:w="1156" w:type="dxa"/>
            <w:shd w:val="clear" w:color="auto" w:fill="F9F9FB"/>
          </w:tcPr>
          <w:p w14:paraId="684C3ED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c>
          <w:tcPr>
            <w:tcW w:w="1462" w:type="dxa"/>
            <w:shd w:val="clear" w:color="auto" w:fill="F9F9FB"/>
          </w:tcPr>
          <w:p w14:paraId="501302D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c>
          <w:tcPr>
            <w:tcW w:w="1666" w:type="dxa"/>
            <w:shd w:val="clear" w:color="auto" w:fill="F9F9FB"/>
          </w:tcPr>
          <w:p w14:paraId="0460B1F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98.6</w:t>
            </w:r>
          </w:p>
        </w:tc>
      </w:tr>
      <w:tr w:rsidR="00E367A2" w:rsidRPr="00E367A2" w14:paraId="0A3B7B85" w14:textId="77777777" w:rsidTr="00E367A2">
        <w:trPr>
          <w:jc w:val="center"/>
        </w:trPr>
        <w:tc>
          <w:tcPr>
            <w:tcW w:w="833" w:type="dxa"/>
            <w:vMerge/>
          </w:tcPr>
          <w:p w14:paraId="2682CFD3"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496" w:type="dxa"/>
            <w:shd w:val="clear" w:color="auto" w:fill="E0E0E0"/>
          </w:tcPr>
          <w:p w14:paraId="036B90F9"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Above 25000</w:t>
            </w:r>
          </w:p>
        </w:tc>
        <w:tc>
          <w:tcPr>
            <w:tcW w:w="1207" w:type="dxa"/>
            <w:shd w:val="clear" w:color="auto" w:fill="F9F9FB"/>
          </w:tcPr>
          <w:p w14:paraId="50A5403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156" w:type="dxa"/>
            <w:shd w:val="clear" w:color="auto" w:fill="F9F9FB"/>
          </w:tcPr>
          <w:p w14:paraId="6E9DCB8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462" w:type="dxa"/>
            <w:shd w:val="clear" w:color="auto" w:fill="F9F9FB"/>
          </w:tcPr>
          <w:p w14:paraId="36951D4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666" w:type="dxa"/>
            <w:shd w:val="clear" w:color="auto" w:fill="F9F9FB"/>
          </w:tcPr>
          <w:p w14:paraId="1191321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76A3430B" w14:textId="77777777" w:rsidTr="00E367A2">
        <w:trPr>
          <w:jc w:val="center"/>
        </w:trPr>
        <w:tc>
          <w:tcPr>
            <w:tcW w:w="833" w:type="dxa"/>
            <w:vMerge/>
          </w:tcPr>
          <w:p w14:paraId="26FE44A8"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496" w:type="dxa"/>
            <w:shd w:val="clear" w:color="auto" w:fill="E0E0E0"/>
          </w:tcPr>
          <w:p w14:paraId="039CA25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shd w:val="clear" w:color="auto" w:fill="F9F9FB"/>
          </w:tcPr>
          <w:p w14:paraId="2B0DD8F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shd w:val="clear" w:color="auto" w:fill="F9F9FB"/>
          </w:tcPr>
          <w:p w14:paraId="4D49A6B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shd w:val="clear" w:color="auto" w:fill="F9F9FB"/>
          </w:tcPr>
          <w:p w14:paraId="1D8DA7A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shd w:val="clear" w:color="auto" w:fill="F9F9FB"/>
          </w:tcPr>
          <w:p w14:paraId="5E657E18"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r>
    </w:tbl>
    <w:p w14:paraId="70500583" w14:textId="77777777" w:rsidR="00FA7076" w:rsidRPr="00E367A2" w:rsidRDefault="00FA7076" w:rsidP="0029066D">
      <w:pPr>
        <w:spacing w:before="120" w:after="0" w:line="276" w:lineRule="auto"/>
        <w:jc w:val="both"/>
        <w:rPr>
          <w:rFonts w:ascii="Times New Roman" w:hAnsi="Times New Roman" w:cs="Times New Roman"/>
          <w:b/>
          <w:bCs/>
          <w:sz w:val="20"/>
          <w:szCs w:val="20"/>
        </w:rPr>
      </w:pPr>
    </w:p>
    <w:p w14:paraId="48F070FE"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noProof/>
          <w:sz w:val="20"/>
          <w:szCs w:val="20"/>
          <w:lang w:eastAsia="en-IN"/>
        </w:rPr>
        <w:drawing>
          <wp:inline distT="0" distB="0" distL="0" distR="0" wp14:anchorId="47E88FB8" wp14:editId="0545621B">
            <wp:extent cx="5720862" cy="2766647"/>
            <wp:effectExtent l="0" t="0" r="13335" b="15240"/>
            <wp:docPr id="532767535" name="Chart 1">
              <a:extLst xmlns:a="http://schemas.openxmlformats.org/drawingml/2006/main">
                <a:ext uri="{FF2B5EF4-FFF2-40B4-BE49-F238E27FC236}">
                  <a16:creationId xmlns:a16="http://schemas.microsoft.com/office/drawing/2014/main" id="{041714F7-BA45-D98C-7CE6-25D24D63E2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8437DC"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4B2BAA99" w14:textId="687D186E"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bCs/>
          <w:sz w:val="20"/>
          <w:szCs w:val="20"/>
        </w:rPr>
        <w:t>Interpretation-</w:t>
      </w:r>
    </w:p>
    <w:p w14:paraId="653C7FC1" w14:textId="51D15B75"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income distribution chart shows that 86 respondents (62.3%) have no income, and 42 (30.4%) earn below ₹10,000. Only a small portion </w:t>
      </w:r>
      <w:r w:rsidRPr="00E367A2">
        <w:rPr>
          <w:rFonts w:ascii="Times New Roman" w:hAnsi="Times New Roman" w:cs="Times New Roman"/>
          <w:sz w:val="20"/>
          <w:szCs w:val="20"/>
        </w:rPr>
        <w:t>earns ₹10,000–25,000 (8 respondents) or above ₹25,000 (2 respondents). This indicates a low-income or financially dependent population, mostly students.</w:t>
      </w:r>
    </w:p>
    <w:p w14:paraId="425FD47B"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708" w:footer="708" w:gutter="0"/>
          <w:cols w:num="2" w:space="708"/>
          <w:docGrid w:linePitch="360"/>
        </w:sectPr>
      </w:pPr>
    </w:p>
    <w:p w14:paraId="5CFDF696" w14:textId="2A8F8B05"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Section B: Financial Literacy </w:t>
      </w:r>
    </w:p>
    <w:p w14:paraId="5B1DEAF9" w14:textId="25CC439A" w:rsidR="000550CA" w:rsidRPr="00E367A2" w:rsidRDefault="000550CA"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6. level of agreement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33"/>
        <w:gridCol w:w="1904"/>
        <w:gridCol w:w="1207"/>
        <w:gridCol w:w="1156"/>
        <w:gridCol w:w="1462"/>
        <w:gridCol w:w="1666"/>
      </w:tblGrid>
      <w:tr w:rsidR="00E367A2" w:rsidRPr="00E367A2" w14:paraId="4E7E6D45" w14:textId="77777777" w:rsidTr="00E367A2">
        <w:trPr>
          <w:jc w:val="center"/>
        </w:trPr>
        <w:tc>
          <w:tcPr>
            <w:tcW w:w="8228" w:type="dxa"/>
            <w:gridSpan w:val="6"/>
            <w:shd w:val="clear" w:color="auto" w:fill="FFFFFF"/>
            <w:vAlign w:val="center"/>
          </w:tcPr>
          <w:p w14:paraId="15E9D2C7" w14:textId="77777777" w:rsidR="00FA7076" w:rsidRPr="00E367A2" w:rsidRDefault="00FA7076" w:rsidP="00E367A2">
            <w:pPr>
              <w:spacing w:after="0" w:line="240" w:lineRule="auto"/>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Indicate level of agreement</w:t>
            </w:r>
          </w:p>
          <w:p w14:paraId="4647E08D"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r>
      <w:tr w:rsidR="00E367A2" w:rsidRPr="00E367A2" w14:paraId="64295257" w14:textId="77777777" w:rsidTr="00E367A2">
        <w:trPr>
          <w:trHeight w:val="114"/>
          <w:jc w:val="center"/>
        </w:trPr>
        <w:tc>
          <w:tcPr>
            <w:tcW w:w="2737" w:type="dxa"/>
            <w:gridSpan w:val="2"/>
            <w:shd w:val="clear" w:color="auto" w:fill="FFFFFF"/>
            <w:vAlign w:val="bottom"/>
          </w:tcPr>
          <w:p w14:paraId="6332C70E"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207" w:type="dxa"/>
            <w:shd w:val="clear" w:color="auto" w:fill="FFFFFF"/>
            <w:vAlign w:val="bottom"/>
          </w:tcPr>
          <w:p w14:paraId="2E0B5FD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Frequency</w:t>
            </w:r>
          </w:p>
        </w:tc>
        <w:tc>
          <w:tcPr>
            <w:tcW w:w="1156" w:type="dxa"/>
            <w:shd w:val="clear" w:color="auto" w:fill="FFFFFF"/>
            <w:vAlign w:val="bottom"/>
          </w:tcPr>
          <w:p w14:paraId="0569A43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Percent</w:t>
            </w:r>
          </w:p>
        </w:tc>
        <w:tc>
          <w:tcPr>
            <w:tcW w:w="1462" w:type="dxa"/>
            <w:shd w:val="clear" w:color="auto" w:fill="FFFFFF"/>
            <w:vAlign w:val="bottom"/>
          </w:tcPr>
          <w:p w14:paraId="40CC856D"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Valid Percent</w:t>
            </w:r>
          </w:p>
        </w:tc>
        <w:tc>
          <w:tcPr>
            <w:tcW w:w="1666" w:type="dxa"/>
            <w:shd w:val="clear" w:color="auto" w:fill="FFFFFF"/>
            <w:vAlign w:val="bottom"/>
          </w:tcPr>
          <w:p w14:paraId="0127851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Cumulative Percent</w:t>
            </w:r>
          </w:p>
        </w:tc>
      </w:tr>
      <w:tr w:rsidR="00E367A2" w:rsidRPr="00E367A2" w14:paraId="5ECEAF03" w14:textId="77777777" w:rsidTr="00E367A2">
        <w:trPr>
          <w:jc w:val="center"/>
        </w:trPr>
        <w:tc>
          <w:tcPr>
            <w:tcW w:w="833" w:type="dxa"/>
            <w:vMerge w:val="restart"/>
            <w:shd w:val="clear" w:color="auto" w:fill="E0E0E0"/>
          </w:tcPr>
          <w:p w14:paraId="2048BA09"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Valid</w:t>
            </w:r>
          </w:p>
        </w:tc>
        <w:tc>
          <w:tcPr>
            <w:tcW w:w="1904" w:type="dxa"/>
            <w:shd w:val="clear" w:color="auto" w:fill="E0E0E0"/>
          </w:tcPr>
          <w:p w14:paraId="2115B5D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Strongly Disagree</w:t>
            </w:r>
          </w:p>
        </w:tc>
        <w:tc>
          <w:tcPr>
            <w:tcW w:w="1207" w:type="dxa"/>
            <w:shd w:val="clear" w:color="auto" w:fill="F9F9FB"/>
          </w:tcPr>
          <w:p w14:paraId="58ED2F3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52</w:t>
            </w:r>
          </w:p>
        </w:tc>
        <w:tc>
          <w:tcPr>
            <w:tcW w:w="1156" w:type="dxa"/>
            <w:shd w:val="clear" w:color="auto" w:fill="F9F9FB"/>
          </w:tcPr>
          <w:p w14:paraId="1E399A2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37.7</w:t>
            </w:r>
          </w:p>
        </w:tc>
        <w:tc>
          <w:tcPr>
            <w:tcW w:w="1462" w:type="dxa"/>
            <w:shd w:val="clear" w:color="auto" w:fill="F9F9FB"/>
          </w:tcPr>
          <w:p w14:paraId="22DC0BC9"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37.7</w:t>
            </w:r>
          </w:p>
        </w:tc>
        <w:tc>
          <w:tcPr>
            <w:tcW w:w="1666" w:type="dxa"/>
            <w:shd w:val="clear" w:color="auto" w:fill="F9F9FB"/>
          </w:tcPr>
          <w:p w14:paraId="6EBCDF4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37.7</w:t>
            </w:r>
          </w:p>
        </w:tc>
      </w:tr>
      <w:tr w:rsidR="00E367A2" w:rsidRPr="00E367A2" w14:paraId="3F5ABEE1" w14:textId="77777777" w:rsidTr="00E367A2">
        <w:trPr>
          <w:jc w:val="center"/>
        </w:trPr>
        <w:tc>
          <w:tcPr>
            <w:tcW w:w="833" w:type="dxa"/>
            <w:vMerge/>
          </w:tcPr>
          <w:p w14:paraId="3A1CE89F"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904" w:type="dxa"/>
            <w:shd w:val="clear" w:color="auto" w:fill="E0E0E0"/>
          </w:tcPr>
          <w:p w14:paraId="0214F02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Disagree</w:t>
            </w:r>
          </w:p>
        </w:tc>
        <w:tc>
          <w:tcPr>
            <w:tcW w:w="1207" w:type="dxa"/>
            <w:shd w:val="clear" w:color="auto" w:fill="F9F9FB"/>
          </w:tcPr>
          <w:p w14:paraId="784D100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50</w:t>
            </w:r>
          </w:p>
        </w:tc>
        <w:tc>
          <w:tcPr>
            <w:tcW w:w="1156" w:type="dxa"/>
            <w:shd w:val="clear" w:color="auto" w:fill="F9F9FB"/>
          </w:tcPr>
          <w:p w14:paraId="3F6DE2C6"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36.2</w:t>
            </w:r>
          </w:p>
        </w:tc>
        <w:tc>
          <w:tcPr>
            <w:tcW w:w="1462" w:type="dxa"/>
            <w:shd w:val="clear" w:color="auto" w:fill="F9F9FB"/>
          </w:tcPr>
          <w:p w14:paraId="75A18FE2"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36.2</w:t>
            </w:r>
          </w:p>
        </w:tc>
        <w:tc>
          <w:tcPr>
            <w:tcW w:w="1666" w:type="dxa"/>
            <w:shd w:val="clear" w:color="auto" w:fill="F9F9FB"/>
          </w:tcPr>
          <w:p w14:paraId="5219B5A8"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73.9</w:t>
            </w:r>
          </w:p>
        </w:tc>
      </w:tr>
      <w:tr w:rsidR="00E367A2" w:rsidRPr="00E367A2" w14:paraId="073754EE" w14:textId="77777777" w:rsidTr="00E367A2">
        <w:trPr>
          <w:jc w:val="center"/>
        </w:trPr>
        <w:tc>
          <w:tcPr>
            <w:tcW w:w="833" w:type="dxa"/>
            <w:vMerge/>
          </w:tcPr>
          <w:p w14:paraId="17599735"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904" w:type="dxa"/>
            <w:shd w:val="clear" w:color="auto" w:fill="E0E0E0"/>
          </w:tcPr>
          <w:p w14:paraId="630A7B1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Neutral</w:t>
            </w:r>
          </w:p>
        </w:tc>
        <w:tc>
          <w:tcPr>
            <w:tcW w:w="1207" w:type="dxa"/>
            <w:shd w:val="clear" w:color="auto" w:fill="F9F9FB"/>
          </w:tcPr>
          <w:p w14:paraId="2420C2A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26</w:t>
            </w:r>
          </w:p>
        </w:tc>
        <w:tc>
          <w:tcPr>
            <w:tcW w:w="1156" w:type="dxa"/>
            <w:shd w:val="clear" w:color="auto" w:fill="F9F9FB"/>
          </w:tcPr>
          <w:p w14:paraId="17D7407B"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18.8</w:t>
            </w:r>
          </w:p>
        </w:tc>
        <w:tc>
          <w:tcPr>
            <w:tcW w:w="1462" w:type="dxa"/>
            <w:shd w:val="clear" w:color="auto" w:fill="F9F9FB"/>
          </w:tcPr>
          <w:p w14:paraId="37D165A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18.8</w:t>
            </w:r>
          </w:p>
        </w:tc>
        <w:tc>
          <w:tcPr>
            <w:tcW w:w="1666" w:type="dxa"/>
            <w:shd w:val="clear" w:color="auto" w:fill="F9F9FB"/>
          </w:tcPr>
          <w:p w14:paraId="7736AA7C"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92.8</w:t>
            </w:r>
          </w:p>
        </w:tc>
      </w:tr>
      <w:tr w:rsidR="00E367A2" w:rsidRPr="00E367A2" w14:paraId="5BC2EAC7" w14:textId="77777777" w:rsidTr="00E367A2">
        <w:trPr>
          <w:jc w:val="center"/>
        </w:trPr>
        <w:tc>
          <w:tcPr>
            <w:tcW w:w="833" w:type="dxa"/>
            <w:vMerge/>
          </w:tcPr>
          <w:p w14:paraId="70C1E7EE"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904" w:type="dxa"/>
            <w:shd w:val="clear" w:color="auto" w:fill="E0E0E0"/>
          </w:tcPr>
          <w:p w14:paraId="59EB7B8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Agree</w:t>
            </w:r>
          </w:p>
        </w:tc>
        <w:tc>
          <w:tcPr>
            <w:tcW w:w="1207" w:type="dxa"/>
            <w:shd w:val="clear" w:color="auto" w:fill="F9F9FB"/>
          </w:tcPr>
          <w:p w14:paraId="39EE39B7"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6</w:t>
            </w:r>
          </w:p>
        </w:tc>
        <w:tc>
          <w:tcPr>
            <w:tcW w:w="1156" w:type="dxa"/>
            <w:shd w:val="clear" w:color="auto" w:fill="F9F9FB"/>
          </w:tcPr>
          <w:p w14:paraId="0328F541"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4.3</w:t>
            </w:r>
          </w:p>
        </w:tc>
        <w:tc>
          <w:tcPr>
            <w:tcW w:w="1462" w:type="dxa"/>
            <w:shd w:val="clear" w:color="auto" w:fill="F9F9FB"/>
          </w:tcPr>
          <w:p w14:paraId="555574E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4.3</w:t>
            </w:r>
          </w:p>
        </w:tc>
        <w:tc>
          <w:tcPr>
            <w:tcW w:w="1666" w:type="dxa"/>
            <w:shd w:val="clear" w:color="auto" w:fill="F9F9FB"/>
          </w:tcPr>
          <w:p w14:paraId="4A73E91D"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97.1</w:t>
            </w:r>
          </w:p>
        </w:tc>
      </w:tr>
      <w:tr w:rsidR="00E367A2" w:rsidRPr="00E367A2" w14:paraId="023E6B5E" w14:textId="77777777" w:rsidTr="00E367A2">
        <w:trPr>
          <w:jc w:val="center"/>
        </w:trPr>
        <w:tc>
          <w:tcPr>
            <w:tcW w:w="833" w:type="dxa"/>
            <w:vMerge/>
          </w:tcPr>
          <w:p w14:paraId="5FB5CE0D"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904" w:type="dxa"/>
            <w:shd w:val="clear" w:color="auto" w:fill="E0E0E0"/>
          </w:tcPr>
          <w:p w14:paraId="5CAEA8E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Strongly Agree</w:t>
            </w:r>
          </w:p>
        </w:tc>
        <w:tc>
          <w:tcPr>
            <w:tcW w:w="1207" w:type="dxa"/>
            <w:shd w:val="clear" w:color="auto" w:fill="F9F9FB"/>
          </w:tcPr>
          <w:p w14:paraId="339394FE"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4</w:t>
            </w:r>
          </w:p>
        </w:tc>
        <w:tc>
          <w:tcPr>
            <w:tcW w:w="1156" w:type="dxa"/>
            <w:shd w:val="clear" w:color="auto" w:fill="F9F9FB"/>
          </w:tcPr>
          <w:p w14:paraId="3FC7A8A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2.9</w:t>
            </w:r>
          </w:p>
        </w:tc>
        <w:tc>
          <w:tcPr>
            <w:tcW w:w="1462" w:type="dxa"/>
            <w:shd w:val="clear" w:color="auto" w:fill="F9F9FB"/>
          </w:tcPr>
          <w:p w14:paraId="699D89A5"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2.9</w:t>
            </w:r>
          </w:p>
        </w:tc>
        <w:tc>
          <w:tcPr>
            <w:tcW w:w="1666" w:type="dxa"/>
            <w:shd w:val="clear" w:color="auto" w:fill="F9F9FB"/>
          </w:tcPr>
          <w:p w14:paraId="5BB678A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100.0</w:t>
            </w:r>
          </w:p>
        </w:tc>
      </w:tr>
      <w:tr w:rsidR="00E367A2" w:rsidRPr="00E367A2" w14:paraId="71452090" w14:textId="77777777" w:rsidTr="00E367A2">
        <w:trPr>
          <w:jc w:val="center"/>
        </w:trPr>
        <w:tc>
          <w:tcPr>
            <w:tcW w:w="833" w:type="dxa"/>
            <w:vMerge/>
          </w:tcPr>
          <w:p w14:paraId="2FA9B570"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c>
          <w:tcPr>
            <w:tcW w:w="1904" w:type="dxa"/>
            <w:shd w:val="clear" w:color="auto" w:fill="E0E0E0"/>
          </w:tcPr>
          <w:p w14:paraId="1CA25DB0"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Total</w:t>
            </w:r>
          </w:p>
        </w:tc>
        <w:tc>
          <w:tcPr>
            <w:tcW w:w="1207" w:type="dxa"/>
            <w:shd w:val="clear" w:color="auto" w:fill="F9F9FB"/>
          </w:tcPr>
          <w:p w14:paraId="1BF0E4CF"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138</w:t>
            </w:r>
          </w:p>
        </w:tc>
        <w:tc>
          <w:tcPr>
            <w:tcW w:w="1156" w:type="dxa"/>
            <w:shd w:val="clear" w:color="auto" w:fill="F9F9FB"/>
          </w:tcPr>
          <w:p w14:paraId="038691B3"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100.0</w:t>
            </w:r>
          </w:p>
        </w:tc>
        <w:tc>
          <w:tcPr>
            <w:tcW w:w="1462" w:type="dxa"/>
            <w:shd w:val="clear" w:color="auto" w:fill="F9F9FB"/>
          </w:tcPr>
          <w:p w14:paraId="5C9031DA" w14:textId="77777777" w:rsidR="00FA7076" w:rsidRPr="00E367A2" w:rsidRDefault="00FA7076" w:rsidP="00E367A2">
            <w:pPr>
              <w:spacing w:after="0" w:line="240" w:lineRule="auto"/>
              <w:contextualSpacing/>
              <w:jc w:val="both"/>
              <w:rPr>
                <w:rFonts w:ascii="Times New Roman" w:hAnsi="Times New Roman" w:cs="Times New Roman"/>
                <w:sz w:val="20"/>
                <w:szCs w:val="20"/>
              </w:rPr>
            </w:pPr>
            <w:r w:rsidRPr="00E367A2">
              <w:rPr>
                <w:rFonts w:ascii="Times New Roman" w:hAnsi="Times New Roman" w:cs="Times New Roman"/>
                <w:sz w:val="20"/>
                <w:szCs w:val="20"/>
              </w:rPr>
              <w:t>100.0</w:t>
            </w:r>
          </w:p>
        </w:tc>
        <w:tc>
          <w:tcPr>
            <w:tcW w:w="1666" w:type="dxa"/>
            <w:shd w:val="clear" w:color="auto" w:fill="F9F9FB"/>
          </w:tcPr>
          <w:p w14:paraId="22D57062" w14:textId="77777777" w:rsidR="00FA7076" w:rsidRPr="00E367A2" w:rsidRDefault="00FA7076" w:rsidP="00E367A2">
            <w:pPr>
              <w:spacing w:after="0" w:line="240" w:lineRule="auto"/>
              <w:contextualSpacing/>
              <w:jc w:val="both"/>
              <w:rPr>
                <w:rFonts w:ascii="Times New Roman" w:hAnsi="Times New Roman" w:cs="Times New Roman"/>
                <w:sz w:val="20"/>
                <w:szCs w:val="20"/>
              </w:rPr>
            </w:pPr>
          </w:p>
        </w:tc>
      </w:tr>
    </w:tbl>
    <w:p w14:paraId="03FF20AA"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5200C320" wp14:editId="024A72E1">
            <wp:extent cx="5326380" cy="2743200"/>
            <wp:effectExtent l="0" t="0" r="7620" b="0"/>
            <wp:docPr id="755886898" name="Chart 1">
              <a:extLst xmlns:a="http://schemas.openxmlformats.org/drawingml/2006/main">
                <a:ext uri="{FF2B5EF4-FFF2-40B4-BE49-F238E27FC236}">
                  <a16:creationId xmlns:a16="http://schemas.microsoft.com/office/drawing/2014/main" id="{70C868A9-8353-24A7-A5F6-784705D6B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6AC155"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6D94C00B"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7E985F3A" w14:textId="284A2910"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Most respondents either strongly disagreed (52) or disagreed (50), showing a predominantly negative sentiment. Only 6 agreed and 4 strongly agreed, </w:t>
      </w:r>
      <w:r w:rsidRPr="00E367A2">
        <w:rPr>
          <w:rFonts w:ascii="Times New Roman" w:hAnsi="Times New Roman" w:cs="Times New Roman"/>
          <w:sz w:val="20"/>
          <w:szCs w:val="20"/>
        </w:rPr>
        <w:t>indicating very low positive consensus.26 participants remained neutral, showing some indecisiveness or lack of opinion. Overall, out of 138 total responses, the majority leaned toward disagreement.</w:t>
      </w:r>
    </w:p>
    <w:p w14:paraId="2687D1B1"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4016148B" w14:textId="72927228" w:rsidR="000550CA" w:rsidRPr="00E367A2" w:rsidRDefault="000550CA"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sz w:val="20"/>
          <w:szCs w:val="20"/>
        </w:rPr>
        <w:t>7.</w:t>
      </w:r>
      <w:r w:rsidRPr="00E367A2">
        <w:rPr>
          <w:rFonts w:ascii="Times New Roman" w:hAnsi="Times New Roman" w:cs="Times New Roman"/>
          <w:sz w:val="20"/>
          <w:szCs w:val="20"/>
        </w:rPr>
        <w:t xml:space="preserve"> </w:t>
      </w:r>
      <w:r w:rsidRPr="00E367A2">
        <w:rPr>
          <w:rFonts w:ascii="Times New Roman" w:hAnsi="Times New Roman" w:cs="Times New Roman"/>
          <w:b/>
          <w:bCs/>
          <w:sz w:val="20"/>
          <w:szCs w:val="20"/>
        </w:rPr>
        <w:t>Differentiate between saving and investing</w:t>
      </w:r>
    </w:p>
    <w:tbl>
      <w:tblPr>
        <w:tblStyle w:val="TableGrid"/>
        <w:tblW w:w="0" w:type="auto"/>
        <w:jc w:val="center"/>
        <w:tblLayout w:type="fixed"/>
        <w:tblLook w:val="0000" w:firstRow="0" w:lastRow="0" w:firstColumn="0" w:lastColumn="0" w:noHBand="0" w:noVBand="0"/>
      </w:tblPr>
      <w:tblGrid>
        <w:gridCol w:w="833"/>
        <w:gridCol w:w="833"/>
        <w:gridCol w:w="1207"/>
        <w:gridCol w:w="1156"/>
        <w:gridCol w:w="1462"/>
        <w:gridCol w:w="1666"/>
      </w:tblGrid>
      <w:tr w:rsidR="00E367A2" w:rsidRPr="00E367A2" w14:paraId="6E6EB9E6" w14:textId="77777777" w:rsidTr="00E367A2">
        <w:trPr>
          <w:jc w:val="center"/>
        </w:trPr>
        <w:tc>
          <w:tcPr>
            <w:tcW w:w="7157" w:type="dxa"/>
            <w:gridSpan w:val="6"/>
          </w:tcPr>
          <w:p w14:paraId="368A306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hAnsi="Times New Roman" w:cs="Times New Roman"/>
                <w:b/>
                <w:bCs/>
                <w:sz w:val="20"/>
                <w:szCs w:val="20"/>
              </w:rPr>
              <w:t>Can differentiate between saving and investing. </w:t>
            </w:r>
          </w:p>
        </w:tc>
      </w:tr>
      <w:tr w:rsidR="00E367A2" w:rsidRPr="00E367A2" w14:paraId="1DB74736" w14:textId="77777777" w:rsidTr="00E367A2">
        <w:trPr>
          <w:jc w:val="center"/>
        </w:trPr>
        <w:tc>
          <w:tcPr>
            <w:tcW w:w="1666" w:type="dxa"/>
            <w:gridSpan w:val="2"/>
          </w:tcPr>
          <w:p w14:paraId="28DEA365"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002F107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2897769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55ADD5D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08F0ECC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19168EB6" w14:textId="77777777" w:rsidTr="00E367A2">
        <w:trPr>
          <w:jc w:val="center"/>
        </w:trPr>
        <w:tc>
          <w:tcPr>
            <w:tcW w:w="833" w:type="dxa"/>
            <w:vMerge w:val="restart"/>
          </w:tcPr>
          <w:p w14:paraId="1B33A4B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833" w:type="dxa"/>
          </w:tcPr>
          <w:p w14:paraId="27426F2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w:t>
            </w:r>
          </w:p>
        </w:tc>
        <w:tc>
          <w:tcPr>
            <w:tcW w:w="1207" w:type="dxa"/>
          </w:tcPr>
          <w:p w14:paraId="3AAFC66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68</w:t>
            </w:r>
          </w:p>
        </w:tc>
        <w:tc>
          <w:tcPr>
            <w:tcW w:w="1156" w:type="dxa"/>
          </w:tcPr>
          <w:p w14:paraId="045B019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c>
          <w:tcPr>
            <w:tcW w:w="1462" w:type="dxa"/>
          </w:tcPr>
          <w:p w14:paraId="32598D3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c>
          <w:tcPr>
            <w:tcW w:w="1666" w:type="dxa"/>
          </w:tcPr>
          <w:p w14:paraId="308C7FF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r>
      <w:tr w:rsidR="00E367A2" w:rsidRPr="00E367A2" w14:paraId="1513AA83" w14:textId="77777777" w:rsidTr="00E367A2">
        <w:trPr>
          <w:jc w:val="center"/>
        </w:trPr>
        <w:tc>
          <w:tcPr>
            <w:tcW w:w="833" w:type="dxa"/>
            <w:vMerge/>
          </w:tcPr>
          <w:p w14:paraId="116D9D62"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353B741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207" w:type="dxa"/>
          </w:tcPr>
          <w:p w14:paraId="44E19F1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40</w:t>
            </w:r>
          </w:p>
        </w:tc>
        <w:tc>
          <w:tcPr>
            <w:tcW w:w="1156" w:type="dxa"/>
          </w:tcPr>
          <w:p w14:paraId="1EA16EE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29.0</w:t>
            </w:r>
          </w:p>
        </w:tc>
        <w:tc>
          <w:tcPr>
            <w:tcW w:w="1462" w:type="dxa"/>
          </w:tcPr>
          <w:p w14:paraId="32277DB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29.0</w:t>
            </w:r>
          </w:p>
        </w:tc>
        <w:tc>
          <w:tcPr>
            <w:tcW w:w="1666" w:type="dxa"/>
          </w:tcPr>
          <w:p w14:paraId="300D9B8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78.3</w:t>
            </w:r>
          </w:p>
        </w:tc>
      </w:tr>
      <w:tr w:rsidR="00E367A2" w:rsidRPr="00E367A2" w14:paraId="1CF1F944" w14:textId="77777777" w:rsidTr="00E367A2">
        <w:trPr>
          <w:jc w:val="center"/>
        </w:trPr>
        <w:tc>
          <w:tcPr>
            <w:tcW w:w="833" w:type="dxa"/>
            <w:vMerge/>
          </w:tcPr>
          <w:p w14:paraId="2E8126BA"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2BB77DD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w:t>
            </w:r>
          </w:p>
        </w:tc>
        <w:tc>
          <w:tcPr>
            <w:tcW w:w="1207" w:type="dxa"/>
          </w:tcPr>
          <w:p w14:paraId="3962A95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w:t>
            </w:r>
          </w:p>
        </w:tc>
        <w:tc>
          <w:tcPr>
            <w:tcW w:w="1156" w:type="dxa"/>
          </w:tcPr>
          <w:p w14:paraId="1908715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462" w:type="dxa"/>
          </w:tcPr>
          <w:p w14:paraId="73EFCEB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666" w:type="dxa"/>
          </w:tcPr>
          <w:p w14:paraId="51D96B3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91.3</w:t>
            </w:r>
          </w:p>
        </w:tc>
      </w:tr>
      <w:tr w:rsidR="00E367A2" w:rsidRPr="00E367A2" w14:paraId="07D366DB" w14:textId="77777777" w:rsidTr="00E367A2">
        <w:trPr>
          <w:jc w:val="center"/>
        </w:trPr>
        <w:tc>
          <w:tcPr>
            <w:tcW w:w="833" w:type="dxa"/>
            <w:vMerge/>
          </w:tcPr>
          <w:p w14:paraId="09F45D9A"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7EB7A3C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207" w:type="dxa"/>
          </w:tcPr>
          <w:p w14:paraId="6611EF8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w:t>
            </w:r>
          </w:p>
        </w:tc>
        <w:tc>
          <w:tcPr>
            <w:tcW w:w="1156" w:type="dxa"/>
          </w:tcPr>
          <w:p w14:paraId="591F657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462" w:type="dxa"/>
          </w:tcPr>
          <w:p w14:paraId="2484420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666" w:type="dxa"/>
          </w:tcPr>
          <w:p w14:paraId="00E5B81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95.7</w:t>
            </w:r>
          </w:p>
        </w:tc>
      </w:tr>
      <w:tr w:rsidR="00E367A2" w:rsidRPr="00E367A2" w14:paraId="06C75549" w14:textId="77777777" w:rsidTr="00E367A2">
        <w:trPr>
          <w:jc w:val="center"/>
        </w:trPr>
        <w:tc>
          <w:tcPr>
            <w:tcW w:w="833" w:type="dxa"/>
            <w:vMerge/>
          </w:tcPr>
          <w:p w14:paraId="541D8AA5"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0C5CABE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w:t>
            </w:r>
          </w:p>
        </w:tc>
        <w:tc>
          <w:tcPr>
            <w:tcW w:w="1207" w:type="dxa"/>
          </w:tcPr>
          <w:p w14:paraId="5A3C8C4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w:t>
            </w:r>
          </w:p>
        </w:tc>
        <w:tc>
          <w:tcPr>
            <w:tcW w:w="1156" w:type="dxa"/>
          </w:tcPr>
          <w:p w14:paraId="5FDF1A5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462" w:type="dxa"/>
          </w:tcPr>
          <w:p w14:paraId="0D02A0E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666" w:type="dxa"/>
          </w:tcPr>
          <w:p w14:paraId="38E365D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1BFD1015" w14:textId="77777777" w:rsidTr="00E367A2">
        <w:trPr>
          <w:jc w:val="center"/>
        </w:trPr>
        <w:tc>
          <w:tcPr>
            <w:tcW w:w="833" w:type="dxa"/>
            <w:vMerge/>
          </w:tcPr>
          <w:p w14:paraId="281F7304"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598C1B5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6F01F65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3953DBE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6128935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6CA89F88" w14:textId="77777777" w:rsidR="00FA7076" w:rsidRPr="00E367A2" w:rsidRDefault="00FA7076" w:rsidP="00E367A2">
            <w:pPr>
              <w:contextualSpacing/>
              <w:jc w:val="both"/>
              <w:rPr>
                <w:rFonts w:ascii="Times New Roman" w:hAnsi="Times New Roman" w:cs="Times New Roman"/>
                <w:sz w:val="20"/>
                <w:szCs w:val="20"/>
              </w:rPr>
            </w:pPr>
          </w:p>
        </w:tc>
      </w:tr>
    </w:tbl>
    <w:p w14:paraId="565EA9DA" w14:textId="77777777" w:rsidR="00FA7076" w:rsidRPr="00E367A2" w:rsidRDefault="00FA7076" w:rsidP="0029066D">
      <w:pPr>
        <w:spacing w:before="120" w:after="0" w:line="276" w:lineRule="auto"/>
        <w:jc w:val="both"/>
        <w:rPr>
          <w:rFonts w:ascii="Times New Roman" w:hAnsi="Times New Roman" w:cs="Times New Roman"/>
          <w:sz w:val="20"/>
          <w:szCs w:val="20"/>
        </w:rPr>
      </w:pPr>
    </w:p>
    <w:p w14:paraId="08A70131"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7D25C374" wp14:editId="4B88DC73">
            <wp:extent cx="4008120" cy="1821180"/>
            <wp:effectExtent l="0" t="0" r="11430" b="7620"/>
            <wp:docPr id="513225411" name="Chart 1">
              <a:extLst xmlns:a="http://schemas.openxmlformats.org/drawingml/2006/main">
                <a:ext uri="{FF2B5EF4-FFF2-40B4-BE49-F238E27FC236}">
                  <a16:creationId xmlns:a16="http://schemas.microsoft.com/office/drawing/2014/main" id="{69882E9A-BEC4-448A-8DF7-288AFC602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1056A2"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405FC328"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34CEA46F" w14:textId="02E8BF6B"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 majority of respondents (68) rated “1,” showing they </w:t>
      </w:r>
      <w:r w:rsidRPr="00E367A2">
        <w:rPr>
          <w:rFonts w:ascii="Times New Roman" w:hAnsi="Times New Roman" w:cs="Times New Roman"/>
          <w:bCs/>
          <w:sz w:val="20"/>
          <w:szCs w:val="20"/>
        </w:rPr>
        <w:t>cannot differentiate</w:t>
      </w:r>
      <w:r w:rsidR="000550CA" w:rsidRPr="00E367A2">
        <w:rPr>
          <w:rFonts w:ascii="Times New Roman" w:hAnsi="Times New Roman" w:cs="Times New Roman"/>
          <w:sz w:val="20"/>
          <w:szCs w:val="20"/>
        </w:rPr>
        <w:t xml:space="preserve"> between saving and investing. </w:t>
      </w:r>
      <w:r w:rsidRPr="00E367A2">
        <w:rPr>
          <w:rFonts w:ascii="Times New Roman" w:hAnsi="Times New Roman" w:cs="Times New Roman"/>
          <w:sz w:val="20"/>
          <w:szCs w:val="20"/>
        </w:rPr>
        <w:t xml:space="preserve">40 respondents selected “2,” reinforcing </w:t>
      </w:r>
      <w:r w:rsidR="000550CA" w:rsidRPr="00E367A2">
        <w:rPr>
          <w:rFonts w:ascii="Times New Roman" w:hAnsi="Times New Roman" w:cs="Times New Roman"/>
          <w:sz w:val="20"/>
          <w:szCs w:val="20"/>
        </w:rPr>
        <w:t xml:space="preserve">a </w:t>
      </w:r>
      <w:r w:rsidRPr="00E367A2">
        <w:rPr>
          <w:rFonts w:ascii="Times New Roman" w:hAnsi="Times New Roman" w:cs="Times New Roman"/>
          <w:sz w:val="20"/>
          <w:szCs w:val="20"/>
        </w:rPr>
        <w:lastRenderedPageBreak/>
        <w:t>limited u</w:t>
      </w:r>
      <w:r w:rsidR="000550CA" w:rsidRPr="00E367A2">
        <w:rPr>
          <w:rFonts w:ascii="Times New Roman" w:hAnsi="Times New Roman" w:cs="Times New Roman"/>
          <w:sz w:val="20"/>
          <w:szCs w:val="20"/>
        </w:rPr>
        <w:t xml:space="preserve">nderstanding of the difference. </w:t>
      </w:r>
      <w:r w:rsidRPr="00E367A2">
        <w:rPr>
          <w:rFonts w:ascii="Times New Roman" w:hAnsi="Times New Roman" w:cs="Times New Roman"/>
          <w:sz w:val="20"/>
          <w:szCs w:val="20"/>
        </w:rPr>
        <w:t xml:space="preserve">Only 6 respondents chose “5,” indicating </w:t>
      </w:r>
      <w:r w:rsidRPr="00E367A2">
        <w:rPr>
          <w:rFonts w:ascii="Times New Roman" w:hAnsi="Times New Roman" w:cs="Times New Roman"/>
          <w:bCs/>
          <w:sz w:val="20"/>
          <w:szCs w:val="20"/>
        </w:rPr>
        <w:t>very few are confident</w:t>
      </w:r>
      <w:r w:rsidRPr="00E367A2">
        <w:rPr>
          <w:rFonts w:ascii="Times New Roman" w:hAnsi="Times New Roman" w:cs="Times New Roman"/>
          <w:sz w:val="20"/>
          <w:szCs w:val="20"/>
        </w:rPr>
        <w:t xml:space="preserve"> in their </w:t>
      </w:r>
      <w:r w:rsidR="000550CA" w:rsidRPr="00E367A2">
        <w:rPr>
          <w:rFonts w:ascii="Times New Roman" w:hAnsi="Times New Roman" w:cs="Times New Roman"/>
          <w:sz w:val="20"/>
          <w:szCs w:val="20"/>
        </w:rPr>
        <w:t xml:space="preserve">ability to distinguish the two. </w:t>
      </w:r>
      <w:r w:rsidRPr="00E367A2">
        <w:rPr>
          <w:rFonts w:ascii="Times New Roman" w:hAnsi="Times New Roman" w:cs="Times New Roman"/>
          <w:sz w:val="20"/>
          <w:szCs w:val="20"/>
        </w:rPr>
        <w:t xml:space="preserve">Overall, the data (138 responses) </w:t>
      </w:r>
      <w:r w:rsidR="000550CA" w:rsidRPr="00E367A2">
        <w:rPr>
          <w:rFonts w:ascii="Times New Roman" w:hAnsi="Times New Roman" w:cs="Times New Roman"/>
          <w:sz w:val="20"/>
          <w:szCs w:val="20"/>
        </w:rPr>
        <w:t>highlight</w:t>
      </w:r>
      <w:r w:rsidRPr="00E367A2">
        <w:rPr>
          <w:rFonts w:ascii="Times New Roman" w:hAnsi="Times New Roman" w:cs="Times New Roman"/>
          <w:sz w:val="20"/>
          <w:szCs w:val="20"/>
        </w:rPr>
        <w:t xml:space="preserve"> a </w:t>
      </w:r>
      <w:r w:rsidRPr="00E367A2">
        <w:rPr>
          <w:rFonts w:ascii="Times New Roman" w:hAnsi="Times New Roman" w:cs="Times New Roman"/>
          <w:bCs/>
          <w:sz w:val="20"/>
          <w:szCs w:val="20"/>
        </w:rPr>
        <w:t>lack of strong financial literacy</w:t>
      </w:r>
      <w:r w:rsidRPr="00E367A2">
        <w:rPr>
          <w:rFonts w:ascii="Times New Roman" w:hAnsi="Times New Roman" w:cs="Times New Roman"/>
          <w:sz w:val="20"/>
          <w:szCs w:val="20"/>
        </w:rPr>
        <w:t xml:space="preserve"> on this topic.</w:t>
      </w:r>
    </w:p>
    <w:p w14:paraId="79D85CBD"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7686F410" w14:textId="08312354" w:rsidR="00FA7076" w:rsidRPr="00E367A2" w:rsidRDefault="000550CA"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8. </w:t>
      </w:r>
      <w:r w:rsidRPr="00E367A2">
        <w:rPr>
          <w:rFonts w:ascii="Times New Roman" w:eastAsia="Arial" w:hAnsi="Times New Roman" w:cs="Times New Roman"/>
          <w:b/>
          <w:bCs/>
          <w:sz w:val="20"/>
          <w:szCs w:val="20"/>
        </w:rPr>
        <w:t xml:space="preserve">Track my monthly expenses </w:t>
      </w:r>
    </w:p>
    <w:tbl>
      <w:tblPr>
        <w:tblStyle w:val="TableGrid"/>
        <w:tblpPr w:leftFromText="180" w:rightFromText="180" w:vertAnchor="text" w:horzAnchor="margin" w:tblpXSpec="center" w:tblpY="29"/>
        <w:tblW w:w="0" w:type="auto"/>
        <w:tblLayout w:type="fixed"/>
        <w:tblLook w:val="0000" w:firstRow="0" w:lastRow="0" w:firstColumn="0" w:lastColumn="0" w:noHBand="0" w:noVBand="0"/>
      </w:tblPr>
      <w:tblGrid>
        <w:gridCol w:w="833"/>
        <w:gridCol w:w="833"/>
        <w:gridCol w:w="1207"/>
        <w:gridCol w:w="1156"/>
        <w:gridCol w:w="1462"/>
        <w:gridCol w:w="1666"/>
      </w:tblGrid>
      <w:tr w:rsidR="00E367A2" w:rsidRPr="00E367A2" w14:paraId="750022EC" w14:textId="77777777" w:rsidTr="00E367A2">
        <w:tc>
          <w:tcPr>
            <w:tcW w:w="7157" w:type="dxa"/>
            <w:gridSpan w:val="6"/>
          </w:tcPr>
          <w:p w14:paraId="324DFD6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bCs/>
                <w:sz w:val="20"/>
                <w:szCs w:val="20"/>
              </w:rPr>
              <w:t>Track my monthly expenses regularly.</w:t>
            </w:r>
          </w:p>
        </w:tc>
      </w:tr>
      <w:tr w:rsidR="00E367A2" w:rsidRPr="00E367A2" w14:paraId="5808037A" w14:textId="77777777" w:rsidTr="00E367A2">
        <w:tc>
          <w:tcPr>
            <w:tcW w:w="1666" w:type="dxa"/>
            <w:gridSpan w:val="2"/>
          </w:tcPr>
          <w:p w14:paraId="2148C042"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7F0455A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6456D1E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71BFEDB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6B0FCBB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12EFE675" w14:textId="77777777" w:rsidTr="00E367A2">
        <w:tc>
          <w:tcPr>
            <w:tcW w:w="833" w:type="dxa"/>
            <w:vMerge w:val="restart"/>
          </w:tcPr>
          <w:p w14:paraId="467A35D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833" w:type="dxa"/>
          </w:tcPr>
          <w:p w14:paraId="5971314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w:t>
            </w:r>
          </w:p>
        </w:tc>
        <w:tc>
          <w:tcPr>
            <w:tcW w:w="1207" w:type="dxa"/>
          </w:tcPr>
          <w:p w14:paraId="667B7FE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156" w:type="dxa"/>
          </w:tcPr>
          <w:p w14:paraId="2AE5987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10.1</w:t>
            </w:r>
          </w:p>
        </w:tc>
        <w:tc>
          <w:tcPr>
            <w:tcW w:w="1462" w:type="dxa"/>
          </w:tcPr>
          <w:p w14:paraId="451773E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10.1</w:t>
            </w:r>
          </w:p>
        </w:tc>
        <w:tc>
          <w:tcPr>
            <w:tcW w:w="1666" w:type="dxa"/>
          </w:tcPr>
          <w:p w14:paraId="2FC77C1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10.1</w:t>
            </w:r>
          </w:p>
        </w:tc>
      </w:tr>
      <w:tr w:rsidR="00E367A2" w:rsidRPr="00E367A2" w14:paraId="0531E022" w14:textId="77777777" w:rsidTr="00E367A2">
        <w:tc>
          <w:tcPr>
            <w:tcW w:w="833" w:type="dxa"/>
            <w:vMerge/>
          </w:tcPr>
          <w:p w14:paraId="1868CC28"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076CD01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207" w:type="dxa"/>
          </w:tcPr>
          <w:p w14:paraId="747870C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w:t>
            </w:r>
          </w:p>
        </w:tc>
        <w:tc>
          <w:tcPr>
            <w:tcW w:w="1156" w:type="dxa"/>
          </w:tcPr>
          <w:p w14:paraId="4B8B5B6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462" w:type="dxa"/>
          </w:tcPr>
          <w:p w14:paraId="3C3D976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666" w:type="dxa"/>
          </w:tcPr>
          <w:p w14:paraId="21E5BA8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r>
      <w:tr w:rsidR="00E367A2" w:rsidRPr="00E367A2" w14:paraId="3F4AAD32" w14:textId="77777777" w:rsidTr="00E367A2">
        <w:tc>
          <w:tcPr>
            <w:tcW w:w="833" w:type="dxa"/>
            <w:vMerge/>
          </w:tcPr>
          <w:p w14:paraId="65701AF7"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18C772C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w:t>
            </w:r>
          </w:p>
        </w:tc>
        <w:tc>
          <w:tcPr>
            <w:tcW w:w="1207" w:type="dxa"/>
          </w:tcPr>
          <w:p w14:paraId="368B68E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38</w:t>
            </w:r>
          </w:p>
        </w:tc>
        <w:tc>
          <w:tcPr>
            <w:tcW w:w="1156" w:type="dxa"/>
          </w:tcPr>
          <w:p w14:paraId="1D45391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462" w:type="dxa"/>
          </w:tcPr>
          <w:p w14:paraId="03AD18C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666" w:type="dxa"/>
          </w:tcPr>
          <w:p w14:paraId="229B6A5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44.9</w:t>
            </w:r>
          </w:p>
        </w:tc>
      </w:tr>
      <w:tr w:rsidR="00E367A2" w:rsidRPr="00E367A2" w14:paraId="4ADBABD9" w14:textId="77777777" w:rsidTr="00E367A2">
        <w:tc>
          <w:tcPr>
            <w:tcW w:w="833" w:type="dxa"/>
            <w:vMerge/>
          </w:tcPr>
          <w:p w14:paraId="2EE33619"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5D9F3C3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207" w:type="dxa"/>
          </w:tcPr>
          <w:p w14:paraId="40D6E43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c>
          <w:tcPr>
            <w:tcW w:w="1156" w:type="dxa"/>
          </w:tcPr>
          <w:p w14:paraId="0EFE466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42.0</w:t>
            </w:r>
          </w:p>
        </w:tc>
        <w:tc>
          <w:tcPr>
            <w:tcW w:w="1462" w:type="dxa"/>
          </w:tcPr>
          <w:p w14:paraId="4BDFEC9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42.0</w:t>
            </w:r>
          </w:p>
        </w:tc>
        <w:tc>
          <w:tcPr>
            <w:tcW w:w="1666" w:type="dxa"/>
          </w:tcPr>
          <w:p w14:paraId="6884D49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87.0</w:t>
            </w:r>
          </w:p>
        </w:tc>
      </w:tr>
      <w:tr w:rsidR="00E367A2" w:rsidRPr="00E367A2" w14:paraId="4DD0B265" w14:textId="77777777" w:rsidTr="00E367A2">
        <w:tc>
          <w:tcPr>
            <w:tcW w:w="833" w:type="dxa"/>
            <w:vMerge/>
          </w:tcPr>
          <w:p w14:paraId="685C7042"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3D4B784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w:t>
            </w:r>
          </w:p>
        </w:tc>
        <w:tc>
          <w:tcPr>
            <w:tcW w:w="1207" w:type="dxa"/>
          </w:tcPr>
          <w:p w14:paraId="13532A7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w:t>
            </w:r>
          </w:p>
        </w:tc>
        <w:tc>
          <w:tcPr>
            <w:tcW w:w="1156" w:type="dxa"/>
          </w:tcPr>
          <w:p w14:paraId="7891FBA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462" w:type="dxa"/>
          </w:tcPr>
          <w:p w14:paraId="1370851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666" w:type="dxa"/>
          </w:tcPr>
          <w:p w14:paraId="5EADD4F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15CE20DB" w14:textId="77777777" w:rsidTr="00E367A2">
        <w:tc>
          <w:tcPr>
            <w:tcW w:w="833" w:type="dxa"/>
            <w:vMerge/>
          </w:tcPr>
          <w:p w14:paraId="5A58A747"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16163FC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6E99D88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1F15DE4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24FD659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282E5DB8" w14:textId="77777777" w:rsidR="00FA7076" w:rsidRPr="00E367A2" w:rsidRDefault="00FA7076" w:rsidP="00E367A2">
            <w:pPr>
              <w:contextualSpacing/>
              <w:jc w:val="both"/>
              <w:rPr>
                <w:rFonts w:ascii="Times New Roman" w:hAnsi="Times New Roman" w:cs="Times New Roman"/>
                <w:sz w:val="20"/>
                <w:szCs w:val="20"/>
              </w:rPr>
            </w:pPr>
          </w:p>
        </w:tc>
      </w:tr>
    </w:tbl>
    <w:p w14:paraId="1FCF3033" w14:textId="39E72F59"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16CB9EFA" wp14:editId="576741AC">
            <wp:extent cx="3779520" cy="2156460"/>
            <wp:effectExtent l="0" t="0" r="11430" b="15240"/>
            <wp:docPr id="382371739" name="Chart 1">
              <a:extLst xmlns:a="http://schemas.openxmlformats.org/drawingml/2006/main">
                <a:ext uri="{FF2B5EF4-FFF2-40B4-BE49-F238E27FC236}">
                  <a16:creationId xmlns:a16="http://schemas.microsoft.com/office/drawing/2014/main" id="{4B147D57-F4F6-D481-6DFC-58A88DBC6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BBEFD1"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750CEB07" w14:textId="77777777" w:rsidR="00A61429" w:rsidRDefault="00A61429" w:rsidP="0029066D">
      <w:pPr>
        <w:spacing w:before="120" w:after="0" w:line="276" w:lineRule="auto"/>
        <w:jc w:val="both"/>
        <w:rPr>
          <w:rFonts w:ascii="Times New Roman" w:hAnsi="Times New Roman" w:cs="Times New Roman"/>
          <w:b/>
          <w:bCs/>
          <w:sz w:val="20"/>
          <w:szCs w:val="20"/>
        </w:rPr>
      </w:pPr>
    </w:p>
    <w:p w14:paraId="486218F5" w14:textId="77777777" w:rsidR="00A61429" w:rsidRDefault="00A61429" w:rsidP="0029066D">
      <w:pPr>
        <w:spacing w:before="120" w:after="0" w:line="276" w:lineRule="auto"/>
        <w:jc w:val="both"/>
        <w:rPr>
          <w:rFonts w:ascii="Times New Roman" w:hAnsi="Times New Roman" w:cs="Times New Roman"/>
          <w:b/>
          <w:bCs/>
          <w:sz w:val="20"/>
          <w:szCs w:val="20"/>
        </w:rPr>
      </w:pPr>
    </w:p>
    <w:p w14:paraId="6A78E8AB" w14:textId="0BA15C64"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bCs/>
          <w:sz w:val="20"/>
          <w:szCs w:val="20"/>
        </w:rPr>
        <w:t>Interpretation</w:t>
      </w:r>
      <w:r w:rsidRPr="00E367A2">
        <w:rPr>
          <w:rFonts w:ascii="Times New Roman" w:hAnsi="Times New Roman" w:cs="Times New Roman"/>
          <w:sz w:val="20"/>
          <w:szCs w:val="20"/>
        </w:rPr>
        <w:t>-</w:t>
      </w:r>
    </w:p>
    <w:p w14:paraId="3B82E7A6" w14:textId="6024F41A"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Most respondents (58) rated themselves at </w:t>
      </w:r>
      <w:r w:rsidRPr="00E367A2">
        <w:rPr>
          <w:rFonts w:ascii="Times New Roman" w:hAnsi="Times New Roman" w:cs="Times New Roman"/>
          <w:bCs/>
          <w:sz w:val="20"/>
          <w:szCs w:val="20"/>
        </w:rPr>
        <w:t>level 4</w:t>
      </w:r>
      <w:r w:rsidRPr="00E367A2">
        <w:rPr>
          <w:rFonts w:ascii="Times New Roman" w:hAnsi="Times New Roman" w:cs="Times New Roman"/>
          <w:sz w:val="20"/>
          <w:szCs w:val="20"/>
        </w:rPr>
        <w:t xml:space="preserve">, showing a fairly good habit of tracking expenses.38 </w:t>
      </w:r>
      <w:r w:rsidRPr="00E367A2">
        <w:rPr>
          <w:rFonts w:ascii="Times New Roman" w:hAnsi="Times New Roman" w:cs="Times New Roman"/>
          <w:sz w:val="20"/>
          <w:szCs w:val="20"/>
        </w:rPr>
        <w:t xml:space="preserve">selected “3,” indicating moderate tracking </w:t>
      </w:r>
      <w:r w:rsidR="000550CA" w:rsidRPr="00E367A2">
        <w:rPr>
          <w:rFonts w:ascii="Times New Roman" w:hAnsi="Times New Roman" w:cs="Times New Roman"/>
          <w:sz w:val="20"/>
          <w:szCs w:val="20"/>
        </w:rPr>
        <w:t>behaviour</w:t>
      </w:r>
      <w:r w:rsidRPr="00E367A2">
        <w:rPr>
          <w:rFonts w:ascii="Times New Roman" w:hAnsi="Times New Roman" w:cs="Times New Roman"/>
          <w:sz w:val="20"/>
          <w:szCs w:val="20"/>
        </w:rPr>
        <w:t>, while only 18 chose the highest level (5).</w:t>
      </w:r>
      <w:r w:rsidR="000550CA" w:rsidRPr="00E367A2">
        <w:rPr>
          <w:rFonts w:ascii="Times New Roman" w:hAnsi="Times New Roman" w:cs="Times New Roman"/>
          <w:sz w:val="20"/>
          <w:szCs w:val="20"/>
        </w:rPr>
        <w:t xml:space="preserve"> </w:t>
      </w:r>
      <w:r w:rsidRPr="00E367A2">
        <w:rPr>
          <w:rFonts w:ascii="Times New Roman" w:hAnsi="Times New Roman" w:cs="Times New Roman"/>
          <w:sz w:val="20"/>
          <w:szCs w:val="20"/>
        </w:rPr>
        <w:t xml:space="preserve">Low scores (1 and 2) together make up 24 responses, suggesting a minority do not track their expenses </w:t>
      </w:r>
      <w:r w:rsidR="000550CA" w:rsidRPr="00E367A2">
        <w:rPr>
          <w:rFonts w:ascii="Times New Roman" w:hAnsi="Times New Roman" w:cs="Times New Roman"/>
          <w:sz w:val="20"/>
          <w:szCs w:val="20"/>
        </w:rPr>
        <w:t>well. Overall</w:t>
      </w:r>
      <w:r w:rsidRPr="00E367A2">
        <w:rPr>
          <w:rFonts w:ascii="Times New Roman" w:hAnsi="Times New Roman" w:cs="Times New Roman"/>
          <w:sz w:val="20"/>
          <w:szCs w:val="20"/>
        </w:rPr>
        <w:t xml:space="preserve">, among 138 participants, the majority show </w:t>
      </w:r>
      <w:r w:rsidRPr="00E367A2">
        <w:rPr>
          <w:rFonts w:ascii="Times New Roman" w:hAnsi="Times New Roman" w:cs="Times New Roman"/>
          <w:bCs/>
          <w:sz w:val="20"/>
          <w:szCs w:val="20"/>
        </w:rPr>
        <w:t>positive financial discipline</w:t>
      </w:r>
      <w:r w:rsidRPr="00E367A2">
        <w:rPr>
          <w:rFonts w:ascii="Times New Roman" w:hAnsi="Times New Roman" w:cs="Times New Roman"/>
          <w:sz w:val="20"/>
          <w:szCs w:val="20"/>
        </w:rPr>
        <w:t xml:space="preserve"> in monitoring monthly spending.</w:t>
      </w:r>
    </w:p>
    <w:p w14:paraId="7DEBD9D2"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576" w:footer="708" w:gutter="0"/>
          <w:cols w:num="2" w:space="708"/>
          <w:docGrid w:linePitch="360"/>
        </w:sectPr>
      </w:pPr>
    </w:p>
    <w:p w14:paraId="04B57831" w14:textId="07183B44" w:rsidR="000550CA" w:rsidRPr="00E367A2" w:rsidRDefault="000550CA"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9. Inflation Concept </w:t>
      </w:r>
    </w:p>
    <w:tbl>
      <w:tblPr>
        <w:tblStyle w:val="TableGrid"/>
        <w:tblW w:w="0" w:type="auto"/>
        <w:jc w:val="center"/>
        <w:tblLayout w:type="fixed"/>
        <w:tblLook w:val="0000" w:firstRow="0" w:lastRow="0" w:firstColumn="0" w:lastColumn="0" w:noHBand="0" w:noVBand="0"/>
      </w:tblPr>
      <w:tblGrid>
        <w:gridCol w:w="833"/>
        <w:gridCol w:w="833"/>
        <w:gridCol w:w="1207"/>
        <w:gridCol w:w="1156"/>
        <w:gridCol w:w="1462"/>
        <w:gridCol w:w="1666"/>
      </w:tblGrid>
      <w:tr w:rsidR="00E367A2" w:rsidRPr="00E367A2" w14:paraId="49958407" w14:textId="77777777" w:rsidTr="00E367A2">
        <w:trPr>
          <w:jc w:val="center"/>
        </w:trPr>
        <w:tc>
          <w:tcPr>
            <w:tcW w:w="7157" w:type="dxa"/>
            <w:gridSpan w:val="6"/>
          </w:tcPr>
          <w:p w14:paraId="27FDAAFD" w14:textId="7C9F9C98"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bCs/>
                <w:sz w:val="20"/>
                <w:szCs w:val="20"/>
              </w:rPr>
              <w:t>Understanding of the concept of inflation.</w:t>
            </w:r>
          </w:p>
        </w:tc>
      </w:tr>
      <w:tr w:rsidR="00E367A2" w:rsidRPr="00E367A2" w14:paraId="45FBD471" w14:textId="77777777" w:rsidTr="00E367A2">
        <w:trPr>
          <w:jc w:val="center"/>
        </w:trPr>
        <w:tc>
          <w:tcPr>
            <w:tcW w:w="1666" w:type="dxa"/>
            <w:gridSpan w:val="2"/>
          </w:tcPr>
          <w:p w14:paraId="07F6CB66"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21E5CD2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07FBA3B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5BC366F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7251C4E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644BBC13" w14:textId="77777777" w:rsidTr="00E367A2">
        <w:trPr>
          <w:jc w:val="center"/>
        </w:trPr>
        <w:tc>
          <w:tcPr>
            <w:tcW w:w="833" w:type="dxa"/>
            <w:vMerge w:val="restart"/>
          </w:tcPr>
          <w:p w14:paraId="6911DD1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833" w:type="dxa"/>
          </w:tcPr>
          <w:p w14:paraId="6D5AFC9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w:t>
            </w:r>
          </w:p>
        </w:tc>
        <w:tc>
          <w:tcPr>
            <w:tcW w:w="1207" w:type="dxa"/>
          </w:tcPr>
          <w:p w14:paraId="5698184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w:t>
            </w:r>
          </w:p>
        </w:tc>
        <w:tc>
          <w:tcPr>
            <w:tcW w:w="1156" w:type="dxa"/>
          </w:tcPr>
          <w:p w14:paraId="23E807E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462" w:type="dxa"/>
          </w:tcPr>
          <w:p w14:paraId="1784E86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666" w:type="dxa"/>
          </w:tcPr>
          <w:p w14:paraId="60D4F1C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r>
      <w:tr w:rsidR="00E367A2" w:rsidRPr="00E367A2" w14:paraId="3F9FFA89" w14:textId="77777777" w:rsidTr="00E367A2">
        <w:trPr>
          <w:jc w:val="center"/>
        </w:trPr>
        <w:tc>
          <w:tcPr>
            <w:tcW w:w="833" w:type="dxa"/>
            <w:vMerge/>
          </w:tcPr>
          <w:p w14:paraId="487B16DE"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3529270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207" w:type="dxa"/>
          </w:tcPr>
          <w:p w14:paraId="06CC06D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w:t>
            </w:r>
          </w:p>
        </w:tc>
        <w:tc>
          <w:tcPr>
            <w:tcW w:w="1156" w:type="dxa"/>
          </w:tcPr>
          <w:p w14:paraId="5C2F869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462" w:type="dxa"/>
          </w:tcPr>
          <w:p w14:paraId="264B9EA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666" w:type="dxa"/>
          </w:tcPr>
          <w:p w14:paraId="3E117AC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14.5</w:t>
            </w:r>
          </w:p>
        </w:tc>
      </w:tr>
      <w:tr w:rsidR="00E367A2" w:rsidRPr="00E367A2" w14:paraId="03F46530" w14:textId="77777777" w:rsidTr="00E367A2">
        <w:trPr>
          <w:jc w:val="center"/>
        </w:trPr>
        <w:tc>
          <w:tcPr>
            <w:tcW w:w="833" w:type="dxa"/>
            <w:vMerge/>
          </w:tcPr>
          <w:p w14:paraId="775B363A"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013C54D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w:t>
            </w:r>
          </w:p>
        </w:tc>
        <w:tc>
          <w:tcPr>
            <w:tcW w:w="1207" w:type="dxa"/>
          </w:tcPr>
          <w:p w14:paraId="028EB89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34</w:t>
            </w:r>
          </w:p>
        </w:tc>
        <w:tc>
          <w:tcPr>
            <w:tcW w:w="1156" w:type="dxa"/>
          </w:tcPr>
          <w:p w14:paraId="384CF49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24.6</w:t>
            </w:r>
          </w:p>
        </w:tc>
        <w:tc>
          <w:tcPr>
            <w:tcW w:w="1462" w:type="dxa"/>
          </w:tcPr>
          <w:p w14:paraId="7B511C5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24.6</w:t>
            </w:r>
          </w:p>
        </w:tc>
        <w:tc>
          <w:tcPr>
            <w:tcW w:w="1666" w:type="dxa"/>
          </w:tcPr>
          <w:p w14:paraId="71B9E78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39.1</w:t>
            </w:r>
          </w:p>
        </w:tc>
      </w:tr>
      <w:tr w:rsidR="00E367A2" w:rsidRPr="00E367A2" w14:paraId="01C8E924" w14:textId="77777777" w:rsidTr="00E367A2">
        <w:trPr>
          <w:jc w:val="center"/>
        </w:trPr>
        <w:tc>
          <w:tcPr>
            <w:tcW w:w="833" w:type="dxa"/>
            <w:vMerge/>
          </w:tcPr>
          <w:p w14:paraId="51DAA400"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4BD26B5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207" w:type="dxa"/>
          </w:tcPr>
          <w:p w14:paraId="626DC70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70</w:t>
            </w:r>
          </w:p>
        </w:tc>
        <w:tc>
          <w:tcPr>
            <w:tcW w:w="1156" w:type="dxa"/>
          </w:tcPr>
          <w:p w14:paraId="2879DF4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50.7</w:t>
            </w:r>
          </w:p>
        </w:tc>
        <w:tc>
          <w:tcPr>
            <w:tcW w:w="1462" w:type="dxa"/>
          </w:tcPr>
          <w:p w14:paraId="6678021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50.7</w:t>
            </w:r>
          </w:p>
        </w:tc>
        <w:tc>
          <w:tcPr>
            <w:tcW w:w="1666" w:type="dxa"/>
          </w:tcPr>
          <w:p w14:paraId="24F5B90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89.9</w:t>
            </w:r>
          </w:p>
        </w:tc>
      </w:tr>
      <w:tr w:rsidR="00E367A2" w:rsidRPr="00E367A2" w14:paraId="3BD4E692" w14:textId="77777777" w:rsidTr="00E367A2">
        <w:trPr>
          <w:jc w:val="center"/>
        </w:trPr>
        <w:tc>
          <w:tcPr>
            <w:tcW w:w="833" w:type="dxa"/>
            <w:vMerge/>
          </w:tcPr>
          <w:p w14:paraId="13A4AD26"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2F933E9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w:t>
            </w:r>
          </w:p>
        </w:tc>
        <w:tc>
          <w:tcPr>
            <w:tcW w:w="1207" w:type="dxa"/>
          </w:tcPr>
          <w:p w14:paraId="3ED4B85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156" w:type="dxa"/>
          </w:tcPr>
          <w:p w14:paraId="01AFBB4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10.1</w:t>
            </w:r>
          </w:p>
        </w:tc>
        <w:tc>
          <w:tcPr>
            <w:tcW w:w="1462" w:type="dxa"/>
          </w:tcPr>
          <w:p w14:paraId="4DAFF04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10.1</w:t>
            </w:r>
          </w:p>
        </w:tc>
        <w:tc>
          <w:tcPr>
            <w:tcW w:w="1666" w:type="dxa"/>
          </w:tcPr>
          <w:p w14:paraId="71A0AB3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2008989A" w14:textId="77777777" w:rsidTr="00E367A2">
        <w:trPr>
          <w:jc w:val="center"/>
        </w:trPr>
        <w:tc>
          <w:tcPr>
            <w:tcW w:w="833" w:type="dxa"/>
            <w:vMerge/>
          </w:tcPr>
          <w:p w14:paraId="719E5277"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61CEA0D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4EFDD4B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7AD549B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6378D86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2E12BDD0" w14:textId="77777777" w:rsidR="00FA7076" w:rsidRPr="00E367A2" w:rsidRDefault="00FA7076" w:rsidP="00E367A2">
            <w:pPr>
              <w:contextualSpacing/>
              <w:jc w:val="both"/>
              <w:rPr>
                <w:rFonts w:ascii="Times New Roman" w:hAnsi="Times New Roman" w:cs="Times New Roman"/>
                <w:sz w:val="20"/>
                <w:szCs w:val="20"/>
              </w:rPr>
            </w:pPr>
          </w:p>
        </w:tc>
      </w:tr>
    </w:tbl>
    <w:p w14:paraId="04D2FCBA"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0AEA1B96" wp14:editId="32CFE5B2">
            <wp:extent cx="3787140" cy="2362200"/>
            <wp:effectExtent l="0" t="0" r="3810" b="0"/>
            <wp:docPr id="252267942" name="Chart 1">
              <a:extLst xmlns:a="http://schemas.openxmlformats.org/drawingml/2006/main">
                <a:ext uri="{FF2B5EF4-FFF2-40B4-BE49-F238E27FC236}">
                  <a16:creationId xmlns:a16="http://schemas.microsoft.com/office/drawing/2014/main" id="{8ADEFB09-3005-BE92-03E2-D533740CF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9D29CC"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2D362890"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11BEF09C" w14:textId="0B9BF5EF"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 highest number of respondents (70) rated “4,” showing a good understanding of inflation.34 chose “3,” indicating moderate awareness, while only 14 </w:t>
      </w:r>
      <w:r w:rsidRPr="00E367A2">
        <w:rPr>
          <w:rFonts w:ascii="Times New Roman" w:hAnsi="Times New Roman" w:cs="Times New Roman"/>
          <w:sz w:val="20"/>
          <w:szCs w:val="20"/>
        </w:rPr>
        <w:t>rated themselves at the highest level (5).</w:t>
      </w:r>
      <w:r w:rsidR="000550CA" w:rsidRPr="00E367A2">
        <w:rPr>
          <w:rFonts w:ascii="Times New Roman" w:hAnsi="Times New Roman" w:cs="Times New Roman"/>
          <w:sz w:val="20"/>
          <w:szCs w:val="20"/>
        </w:rPr>
        <w:t xml:space="preserve"> </w:t>
      </w:r>
      <w:r w:rsidRPr="00E367A2">
        <w:rPr>
          <w:rFonts w:ascii="Times New Roman" w:hAnsi="Times New Roman" w:cs="Times New Roman"/>
          <w:sz w:val="20"/>
          <w:szCs w:val="20"/>
        </w:rPr>
        <w:t xml:space="preserve">Low scores (1 and 2) together account for just 20 participants, suggesting </w:t>
      </w:r>
      <w:r w:rsidR="000550CA" w:rsidRPr="00E367A2">
        <w:rPr>
          <w:rFonts w:ascii="Times New Roman" w:hAnsi="Times New Roman" w:cs="Times New Roman"/>
          <w:sz w:val="20"/>
          <w:szCs w:val="20"/>
        </w:rPr>
        <w:t xml:space="preserve">a </w:t>
      </w:r>
      <w:r w:rsidRPr="00E367A2">
        <w:rPr>
          <w:rFonts w:ascii="Times New Roman" w:hAnsi="Times New Roman" w:cs="Times New Roman"/>
          <w:sz w:val="20"/>
          <w:szCs w:val="20"/>
        </w:rPr>
        <w:t>limited lack of awareness. Overall, among 138 individuals, the majority display a reasonable to strong grasp of inflation concepts.</w:t>
      </w:r>
    </w:p>
    <w:p w14:paraId="075973CB"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65215168" w14:textId="05AFBCD4" w:rsidR="00FA7076" w:rsidRPr="00E367A2" w:rsidRDefault="000550CA"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10. Financial Products </w:t>
      </w:r>
    </w:p>
    <w:tbl>
      <w:tblPr>
        <w:tblStyle w:val="TableGrid"/>
        <w:tblW w:w="0" w:type="auto"/>
        <w:jc w:val="center"/>
        <w:tblLayout w:type="fixed"/>
        <w:tblLook w:val="0000" w:firstRow="0" w:lastRow="0" w:firstColumn="0" w:lastColumn="0" w:noHBand="0" w:noVBand="0"/>
      </w:tblPr>
      <w:tblGrid>
        <w:gridCol w:w="833"/>
        <w:gridCol w:w="833"/>
        <w:gridCol w:w="1207"/>
        <w:gridCol w:w="1156"/>
        <w:gridCol w:w="1462"/>
        <w:gridCol w:w="1666"/>
      </w:tblGrid>
      <w:tr w:rsidR="00E367A2" w:rsidRPr="00E367A2" w14:paraId="214C535C" w14:textId="77777777" w:rsidTr="00E367A2">
        <w:trPr>
          <w:jc w:val="center"/>
        </w:trPr>
        <w:tc>
          <w:tcPr>
            <w:tcW w:w="7157" w:type="dxa"/>
            <w:gridSpan w:val="6"/>
          </w:tcPr>
          <w:p w14:paraId="4A3D0096" w14:textId="7936860C"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bCs/>
                <w:sz w:val="20"/>
                <w:szCs w:val="20"/>
              </w:rPr>
              <w:t>Comparison of financial products before choosing.</w:t>
            </w:r>
          </w:p>
        </w:tc>
      </w:tr>
      <w:tr w:rsidR="00E367A2" w:rsidRPr="00E367A2" w14:paraId="3CED5248" w14:textId="77777777" w:rsidTr="00E367A2">
        <w:trPr>
          <w:jc w:val="center"/>
        </w:trPr>
        <w:tc>
          <w:tcPr>
            <w:tcW w:w="1666" w:type="dxa"/>
            <w:gridSpan w:val="2"/>
          </w:tcPr>
          <w:p w14:paraId="0826B43C"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4FDD240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71BC369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5C886B4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78890E0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7B00869C" w14:textId="77777777" w:rsidTr="00E367A2">
        <w:trPr>
          <w:jc w:val="center"/>
        </w:trPr>
        <w:tc>
          <w:tcPr>
            <w:tcW w:w="833" w:type="dxa"/>
            <w:vMerge w:val="restart"/>
          </w:tcPr>
          <w:p w14:paraId="777A5F4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833" w:type="dxa"/>
          </w:tcPr>
          <w:p w14:paraId="2CA73AA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w:t>
            </w:r>
          </w:p>
        </w:tc>
        <w:tc>
          <w:tcPr>
            <w:tcW w:w="1207" w:type="dxa"/>
          </w:tcPr>
          <w:p w14:paraId="26821AA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w:t>
            </w:r>
          </w:p>
        </w:tc>
        <w:tc>
          <w:tcPr>
            <w:tcW w:w="1156" w:type="dxa"/>
          </w:tcPr>
          <w:p w14:paraId="6845F19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462" w:type="dxa"/>
          </w:tcPr>
          <w:p w14:paraId="5E51A45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666" w:type="dxa"/>
          </w:tcPr>
          <w:p w14:paraId="7D1A74D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r>
      <w:tr w:rsidR="00E367A2" w:rsidRPr="00E367A2" w14:paraId="33E1AB42" w14:textId="77777777" w:rsidTr="00E367A2">
        <w:trPr>
          <w:jc w:val="center"/>
        </w:trPr>
        <w:tc>
          <w:tcPr>
            <w:tcW w:w="833" w:type="dxa"/>
            <w:vMerge/>
          </w:tcPr>
          <w:p w14:paraId="5E390548"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4C8C89A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207" w:type="dxa"/>
          </w:tcPr>
          <w:p w14:paraId="468A889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w:t>
            </w:r>
          </w:p>
        </w:tc>
        <w:tc>
          <w:tcPr>
            <w:tcW w:w="1156" w:type="dxa"/>
          </w:tcPr>
          <w:p w14:paraId="4BA7D5E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462" w:type="dxa"/>
          </w:tcPr>
          <w:p w14:paraId="00C6348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666" w:type="dxa"/>
          </w:tcPr>
          <w:p w14:paraId="4EDA9DB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r>
      <w:tr w:rsidR="00E367A2" w:rsidRPr="00E367A2" w14:paraId="480F7CEE" w14:textId="77777777" w:rsidTr="00E367A2">
        <w:trPr>
          <w:jc w:val="center"/>
        </w:trPr>
        <w:tc>
          <w:tcPr>
            <w:tcW w:w="833" w:type="dxa"/>
            <w:vMerge/>
          </w:tcPr>
          <w:p w14:paraId="7373DB3D"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3EAEB25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w:t>
            </w:r>
          </w:p>
        </w:tc>
        <w:tc>
          <w:tcPr>
            <w:tcW w:w="1207" w:type="dxa"/>
          </w:tcPr>
          <w:p w14:paraId="4EFB8A5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36</w:t>
            </w:r>
          </w:p>
        </w:tc>
        <w:tc>
          <w:tcPr>
            <w:tcW w:w="1156" w:type="dxa"/>
          </w:tcPr>
          <w:p w14:paraId="22F71F4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26.1</w:t>
            </w:r>
          </w:p>
        </w:tc>
        <w:tc>
          <w:tcPr>
            <w:tcW w:w="1462" w:type="dxa"/>
          </w:tcPr>
          <w:p w14:paraId="7D786B7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26.1</w:t>
            </w:r>
          </w:p>
        </w:tc>
        <w:tc>
          <w:tcPr>
            <w:tcW w:w="1666" w:type="dxa"/>
          </w:tcPr>
          <w:p w14:paraId="0FBFB1A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43.5</w:t>
            </w:r>
          </w:p>
        </w:tc>
      </w:tr>
      <w:tr w:rsidR="00E367A2" w:rsidRPr="00E367A2" w14:paraId="522209A2" w14:textId="77777777" w:rsidTr="00E367A2">
        <w:trPr>
          <w:jc w:val="center"/>
        </w:trPr>
        <w:tc>
          <w:tcPr>
            <w:tcW w:w="833" w:type="dxa"/>
            <w:vMerge/>
          </w:tcPr>
          <w:p w14:paraId="15389CD1"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37E4B60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207" w:type="dxa"/>
          </w:tcPr>
          <w:p w14:paraId="5C28C61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54</w:t>
            </w:r>
          </w:p>
        </w:tc>
        <w:tc>
          <w:tcPr>
            <w:tcW w:w="1156" w:type="dxa"/>
          </w:tcPr>
          <w:p w14:paraId="234386F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39.1</w:t>
            </w:r>
          </w:p>
        </w:tc>
        <w:tc>
          <w:tcPr>
            <w:tcW w:w="1462" w:type="dxa"/>
          </w:tcPr>
          <w:p w14:paraId="709D972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39.1</w:t>
            </w:r>
          </w:p>
        </w:tc>
        <w:tc>
          <w:tcPr>
            <w:tcW w:w="1666" w:type="dxa"/>
          </w:tcPr>
          <w:p w14:paraId="68BDBDA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82.6</w:t>
            </w:r>
          </w:p>
        </w:tc>
      </w:tr>
      <w:tr w:rsidR="00E367A2" w:rsidRPr="00E367A2" w14:paraId="6C757CF1" w14:textId="77777777" w:rsidTr="00E367A2">
        <w:trPr>
          <w:jc w:val="center"/>
        </w:trPr>
        <w:tc>
          <w:tcPr>
            <w:tcW w:w="833" w:type="dxa"/>
            <w:vMerge/>
          </w:tcPr>
          <w:p w14:paraId="7ED874BF"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5103CEF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w:t>
            </w:r>
          </w:p>
        </w:tc>
        <w:tc>
          <w:tcPr>
            <w:tcW w:w="1207" w:type="dxa"/>
          </w:tcPr>
          <w:p w14:paraId="1A2835F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24</w:t>
            </w:r>
          </w:p>
        </w:tc>
        <w:tc>
          <w:tcPr>
            <w:tcW w:w="1156" w:type="dxa"/>
          </w:tcPr>
          <w:p w14:paraId="13AA58B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462" w:type="dxa"/>
          </w:tcPr>
          <w:p w14:paraId="09190E4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666" w:type="dxa"/>
          </w:tcPr>
          <w:p w14:paraId="2144EE4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0F3E6E8E" w14:textId="77777777" w:rsidTr="00E367A2">
        <w:trPr>
          <w:jc w:val="center"/>
        </w:trPr>
        <w:tc>
          <w:tcPr>
            <w:tcW w:w="833" w:type="dxa"/>
            <w:vMerge/>
          </w:tcPr>
          <w:p w14:paraId="72472C5F" w14:textId="77777777" w:rsidR="00FA7076" w:rsidRPr="00E367A2" w:rsidRDefault="00FA7076" w:rsidP="00E367A2">
            <w:pPr>
              <w:contextualSpacing/>
              <w:jc w:val="both"/>
              <w:rPr>
                <w:rFonts w:ascii="Times New Roman" w:hAnsi="Times New Roman" w:cs="Times New Roman"/>
                <w:sz w:val="20"/>
                <w:szCs w:val="20"/>
              </w:rPr>
            </w:pPr>
          </w:p>
        </w:tc>
        <w:tc>
          <w:tcPr>
            <w:tcW w:w="833" w:type="dxa"/>
          </w:tcPr>
          <w:p w14:paraId="2F7E3E6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192D0C6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70417F1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1BB6887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449E7D6C" w14:textId="77777777" w:rsidR="00FA7076" w:rsidRPr="00E367A2" w:rsidRDefault="00FA7076" w:rsidP="00E367A2">
            <w:pPr>
              <w:contextualSpacing/>
              <w:jc w:val="both"/>
              <w:rPr>
                <w:rFonts w:ascii="Times New Roman" w:hAnsi="Times New Roman" w:cs="Times New Roman"/>
                <w:sz w:val="20"/>
                <w:szCs w:val="20"/>
              </w:rPr>
            </w:pPr>
          </w:p>
        </w:tc>
      </w:tr>
    </w:tbl>
    <w:p w14:paraId="6923FAA6"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3C00EC4B" wp14:editId="0A75C96C">
            <wp:extent cx="4572000" cy="2743200"/>
            <wp:effectExtent l="0" t="0" r="0" b="0"/>
            <wp:docPr id="721338509" name="Chart 1">
              <a:extLst xmlns:a="http://schemas.openxmlformats.org/drawingml/2006/main">
                <a:ext uri="{FF2B5EF4-FFF2-40B4-BE49-F238E27FC236}">
                  <a16:creationId xmlns:a16="http://schemas.microsoft.com/office/drawing/2014/main" id="{E96CBC78-E478-D1A9-6DF2-A39E47854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8E55E7"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3A2A9471"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lastRenderedPageBreak/>
        <w:t>Interpretation-</w:t>
      </w:r>
    </w:p>
    <w:p w14:paraId="0E8D8ADF" w14:textId="6ED69B14"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 large portion of respondents (54 or 39.1%) rated themselves at level 4, indicating </w:t>
      </w:r>
      <w:r w:rsidR="000550CA" w:rsidRPr="00E367A2">
        <w:rPr>
          <w:rFonts w:ascii="Times New Roman" w:hAnsi="Times New Roman" w:cs="Times New Roman"/>
          <w:sz w:val="20"/>
          <w:szCs w:val="20"/>
        </w:rPr>
        <w:t>they compare options seriously.</w:t>
      </w:r>
      <w:r w:rsidRPr="00E367A2">
        <w:rPr>
          <w:rFonts w:ascii="Times New Roman" w:hAnsi="Times New Roman" w:cs="Times New Roman"/>
          <w:sz w:val="20"/>
          <w:szCs w:val="20"/>
        </w:rPr>
        <w:t xml:space="preserve">36 participants (26.1%) selected level 3, showing a moderate approach </w:t>
      </w:r>
      <w:r w:rsidR="000550CA" w:rsidRPr="00E367A2">
        <w:rPr>
          <w:rFonts w:ascii="Times New Roman" w:hAnsi="Times New Roman" w:cs="Times New Roman"/>
          <w:sz w:val="20"/>
          <w:szCs w:val="20"/>
        </w:rPr>
        <w:t xml:space="preserve">toward </w:t>
      </w:r>
      <w:r w:rsidR="000550CA" w:rsidRPr="00E367A2">
        <w:rPr>
          <w:rFonts w:ascii="Times New Roman" w:hAnsi="Times New Roman" w:cs="Times New Roman"/>
          <w:sz w:val="20"/>
          <w:szCs w:val="20"/>
        </w:rPr>
        <w:t xml:space="preserve">comparison. </w:t>
      </w:r>
      <w:r w:rsidRPr="00E367A2">
        <w:rPr>
          <w:rFonts w:ascii="Times New Roman" w:hAnsi="Times New Roman" w:cs="Times New Roman"/>
          <w:sz w:val="20"/>
          <w:szCs w:val="20"/>
        </w:rPr>
        <w:t xml:space="preserve">Only 6 respondents (4.3%) rated “1,” implying very </w:t>
      </w:r>
      <w:r w:rsidR="000550CA" w:rsidRPr="00E367A2">
        <w:rPr>
          <w:rFonts w:ascii="Times New Roman" w:hAnsi="Times New Roman" w:cs="Times New Roman"/>
          <w:sz w:val="20"/>
          <w:szCs w:val="20"/>
        </w:rPr>
        <w:t xml:space="preserve">few make no comparisons at all. </w:t>
      </w:r>
      <w:r w:rsidRPr="00E367A2">
        <w:rPr>
          <w:rFonts w:ascii="Times New Roman" w:hAnsi="Times New Roman" w:cs="Times New Roman"/>
          <w:sz w:val="20"/>
          <w:szCs w:val="20"/>
        </w:rPr>
        <w:t xml:space="preserve">Overall, with 138 responses, the data </w:t>
      </w:r>
      <w:r w:rsidR="000550CA" w:rsidRPr="00E367A2">
        <w:rPr>
          <w:rFonts w:ascii="Times New Roman" w:hAnsi="Times New Roman" w:cs="Times New Roman"/>
          <w:sz w:val="20"/>
          <w:szCs w:val="20"/>
        </w:rPr>
        <w:t>reflect</w:t>
      </w:r>
      <w:r w:rsidRPr="00E367A2">
        <w:rPr>
          <w:rFonts w:ascii="Times New Roman" w:hAnsi="Times New Roman" w:cs="Times New Roman"/>
          <w:sz w:val="20"/>
          <w:szCs w:val="20"/>
        </w:rPr>
        <w:t xml:space="preserve"> that most individuals practice informed financial decision-making.</w:t>
      </w:r>
    </w:p>
    <w:p w14:paraId="3C823E4F"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708" w:footer="708" w:gutter="0"/>
          <w:cols w:num="2" w:space="708"/>
          <w:docGrid w:linePitch="360"/>
        </w:sectPr>
      </w:pPr>
    </w:p>
    <w:p w14:paraId="67153BFD" w14:textId="3A08513E"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Section C: Financial Knowledge</w:t>
      </w:r>
    </w:p>
    <w:p w14:paraId="402CB58D" w14:textId="5A2F7DBA" w:rsidR="000550CA" w:rsidRPr="00E367A2" w:rsidRDefault="00195A76"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11</w:t>
      </w:r>
      <w:r w:rsidR="000550CA" w:rsidRPr="00E367A2">
        <w:rPr>
          <w:rFonts w:ascii="Times New Roman" w:hAnsi="Times New Roman" w:cs="Times New Roman"/>
          <w:b/>
          <w:sz w:val="20"/>
          <w:szCs w:val="20"/>
        </w:rPr>
        <w:t xml:space="preserve">. Risk Investment </w:t>
      </w:r>
    </w:p>
    <w:tbl>
      <w:tblPr>
        <w:tblStyle w:val="TableGrid"/>
        <w:tblW w:w="0" w:type="auto"/>
        <w:jc w:val="center"/>
        <w:tblLayout w:type="fixed"/>
        <w:tblLook w:val="0000" w:firstRow="0" w:lastRow="0" w:firstColumn="0" w:lastColumn="0" w:noHBand="0" w:noVBand="0"/>
      </w:tblPr>
      <w:tblGrid>
        <w:gridCol w:w="833"/>
        <w:gridCol w:w="1751"/>
        <w:gridCol w:w="1207"/>
        <w:gridCol w:w="1156"/>
        <w:gridCol w:w="1462"/>
        <w:gridCol w:w="1666"/>
      </w:tblGrid>
      <w:tr w:rsidR="00E367A2" w:rsidRPr="00E367A2" w14:paraId="231BEA86" w14:textId="77777777" w:rsidTr="00E367A2">
        <w:trPr>
          <w:jc w:val="center"/>
        </w:trPr>
        <w:tc>
          <w:tcPr>
            <w:tcW w:w="8075" w:type="dxa"/>
            <w:gridSpan w:val="6"/>
          </w:tcPr>
          <w:p w14:paraId="29D6738E" w14:textId="77777777" w:rsidR="00FA7076" w:rsidRPr="00E367A2" w:rsidRDefault="00FA7076" w:rsidP="00E367A2">
            <w:pPr>
              <w:contextualSpacing/>
              <w:jc w:val="both"/>
              <w:rPr>
                <w:rFonts w:ascii="Times New Roman" w:hAnsi="Times New Roman" w:cs="Times New Roman"/>
                <w:b/>
                <w:bCs/>
                <w:sz w:val="20"/>
                <w:szCs w:val="20"/>
              </w:rPr>
            </w:pPr>
            <w:r w:rsidRPr="00E367A2">
              <w:rPr>
                <w:rFonts w:ascii="Times New Roman" w:hAnsi="Times New Roman" w:cs="Times New Roman"/>
                <w:b/>
                <w:bCs/>
                <w:sz w:val="20"/>
                <w:szCs w:val="20"/>
              </w:rPr>
              <w:t>Meaning of higher risk Investment</w:t>
            </w:r>
          </w:p>
        </w:tc>
      </w:tr>
      <w:tr w:rsidR="00E367A2" w:rsidRPr="00E367A2" w14:paraId="78853D5D" w14:textId="77777777" w:rsidTr="00E367A2">
        <w:trPr>
          <w:jc w:val="center"/>
        </w:trPr>
        <w:tc>
          <w:tcPr>
            <w:tcW w:w="2584" w:type="dxa"/>
            <w:gridSpan w:val="2"/>
          </w:tcPr>
          <w:p w14:paraId="0100EBA7"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1B5D186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5D7DB36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3A58848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70E0BB7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3441C876" w14:textId="77777777" w:rsidTr="00E367A2">
        <w:trPr>
          <w:jc w:val="center"/>
        </w:trPr>
        <w:tc>
          <w:tcPr>
            <w:tcW w:w="833" w:type="dxa"/>
            <w:vMerge w:val="restart"/>
          </w:tcPr>
          <w:p w14:paraId="2A90175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751" w:type="dxa"/>
          </w:tcPr>
          <w:p w14:paraId="74DC368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Higher Return</w:t>
            </w:r>
          </w:p>
        </w:tc>
        <w:tc>
          <w:tcPr>
            <w:tcW w:w="1207" w:type="dxa"/>
          </w:tcPr>
          <w:p w14:paraId="3F23BAC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w:t>
            </w:r>
          </w:p>
        </w:tc>
        <w:tc>
          <w:tcPr>
            <w:tcW w:w="1156" w:type="dxa"/>
          </w:tcPr>
          <w:p w14:paraId="58C1E5F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462" w:type="dxa"/>
          </w:tcPr>
          <w:p w14:paraId="21A04E5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c>
          <w:tcPr>
            <w:tcW w:w="1666" w:type="dxa"/>
          </w:tcPr>
          <w:p w14:paraId="1DE9FAA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13.0</w:t>
            </w:r>
          </w:p>
        </w:tc>
      </w:tr>
      <w:tr w:rsidR="00E367A2" w:rsidRPr="00E367A2" w14:paraId="655ADA8A" w14:textId="77777777" w:rsidTr="00E367A2">
        <w:trPr>
          <w:jc w:val="center"/>
        </w:trPr>
        <w:tc>
          <w:tcPr>
            <w:tcW w:w="833" w:type="dxa"/>
            <w:vMerge/>
          </w:tcPr>
          <w:p w14:paraId="5AB43101" w14:textId="77777777" w:rsidR="00FA7076" w:rsidRPr="00E367A2" w:rsidRDefault="00FA7076" w:rsidP="00E367A2">
            <w:pPr>
              <w:contextualSpacing/>
              <w:jc w:val="both"/>
              <w:rPr>
                <w:rFonts w:ascii="Times New Roman" w:hAnsi="Times New Roman" w:cs="Times New Roman"/>
                <w:sz w:val="20"/>
                <w:szCs w:val="20"/>
              </w:rPr>
            </w:pPr>
          </w:p>
        </w:tc>
        <w:tc>
          <w:tcPr>
            <w:tcW w:w="1751" w:type="dxa"/>
          </w:tcPr>
          <w:p w14:paraId="4DC8E0E8" w14:textId="56D10BE5" w:rsidR="00FA7076" w:rsidRPr="00E367A2" w:rsidRDefault="000550CA"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Guaranteed</w:t>
            </w:r>
            <w:r w:rsidR="00FA7076" w:rsidRPr="00E367A2">
              <w:rPr>
                <w:rFonts w:ascii="Times New Roman" w:eastAsia="Arial" w:hAnsi="Times New Roman" w:cs="Times New Roman"/>
                <w:sz w:val="20"/>
                <w:szCs w:val="20"/>
              </w:rPr>
              <w:t xml:space="preserve"> Loss</w:t>
            </w:r>
          </w:p>
        </w:tc>
        <w:tc>
          <w:tcPr>
            <w:tcW w:w="1207" w:type="dxa"/>
          </w:tcPr>
          <w:p w14:paraId="2E69138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108</w:t>
            </w:r>
          </w:p>
        </w:tc>
        <w:tc>
          <w:tcPr>
            <w:tcW w:w="1156" w:type="dxa"/>
          </w:tcPr>
          <w:p w14:paraId="101FD7F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78.3</w:t>
            </w:r>
          </w:p>
        </w:tc>
        <w:tc>
          <w:tcPr>
            <w:tcW w:w="1462" w:type="dxa"/>
          </w:tcPr>
          <w:p w14:paraId="30AC42F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78.3</w:t>
            </w:r>
          </w:p>
        </w:tc>
        <w:tc>
          <w:tcPr>
            <w:tcW w:w="1666" w:type="dxa"/>
          </w:tcPr>
          <w:p w14:paraId="5B91043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91.3</w:t>
            </w:r>
          </w:p>
        </w:tc>
      </w:tr>
      <w:tr w:rsidR="00E367A2" w:rsidRPr="00E367A2" w14:paraId="28FEAD76" w14:textId="77777777" w:rsidTr="00E367A2">
        <w:trPr>
          <w:jc w:val="center"/>
        </w:trPr>
        <w:tc>
          <w:tcPr>
            <w:tcW w:w="833" w:type="dxa"/>
            <w:vMerge/>
          </w:tcPr>
          <w:p w14:paraId="697EBAF2" w14:textId="77777777" w:rsidR="00FA7076" w:rsidRPr="00E367A2" w:rsidRDefault="00FA7076" w:rsidP="00E367A2">
            <w:pPr>
              <w:contextualSpacing/>
              <w:jc w:val="both"/>
              <w:rPr>
                <w:rFonts w:ascii="Times New Roman" w:hAnsi="Times New Roman" w:cs="Times New Roman"/>
                <w:sz w:val="20"/>
                <w:szCs w:val="20"/>
              </w:rPr>
            </w:pPr>
          </w:p>
        </w:tc>
        <w:tc>
          <w:tcPr>
            <w:tcW w:w="1751" w:type="dxa"/>
          </w:tcPr>
          <w:p w14:paraId="3DD6B57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No Impact</w:t>
            </w:r>
          </w:p>
        </w:tc>
        <w:tc>
          <w:tcPr>
            <w:tcW w:w="1207" w:type="dxa"/>
          </w:tcPr>
          <w:p w14:paraId="70FBC6F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w:t>
            </w:r>
          </w:p>
        </w:tc>
        <w:tc>
          <w:tcPr>
            <w:tcW w:w="1156" w:type="dxa"/>
          </w:tcPr>
          <w:p w14:paraId="060C781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462" w:type="dxa"/>
          </w:tcPr>
          <w:p w14:paraId="276841D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666" w:type="dxa"/>
          </w:tcPr>
          <w:p w14:paraId="65B3422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98.6</w:t>
            </w:r>
          </w:p>
        </w:tc>
      </w:tr>
      <w:tr w:rsidR="00E367A2" w:rsidRPr="00E367A2" w14:paraId="367F453F" w14:textId="77777777" w:rsidTr="00E367A2">
        <w:trPr>
          <w:jc w:val="center"/>
        </w:trPr>
        <w:tc>
          <w:tcPr>
            <w:tcW w:w="833" w:type="dxa"/>
            <w:vMerge/>
          </w:tcPr>
          <w:p w14:paraId="4D515E09" w14:textId="77777777" w:rsidR="00FA7076" w:rsidRPr="00E367A2" w:rsidRDefault="00FA7076" w:rsidP="00E367A2">
            <w:pPr>
              <w:contextualSpacing/>
              <w:jc w:val="both"/>
              <w:rPr>
                <w:rFonts w:ascii="Times New Roman" w:hAnsi="Times New Roman" w:cs="Times New Roman"/>
                <w:sz w:val="20"/>
                <w:szCs w:val="20"/>
              </w:rPr>
            </w:pPr>
          </w:p>
        </w:tc>
        <w:tc>
          <w:tcPr>
            <w:tcW w:w="1751" w:type="dxa"/>
          </w:tcPr>
          <w:p w14:paraId="459154C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Low Return</w:t>
            </w:r>
          </w:p>
        </w:tc>
        <w:tc>
          <w:tcPr>
            <w:tcW w:w="1207" w:type="dxa"/>
          </w:tcPr>
          <w:p w14:paraId="736DA05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156" w:type="dxa"/>
          </w:tcPr>
          <w:p w14:paraId="4FAD323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462" w:type="dxa"/>
          </w:tcPr>
          <w:p w14:paraId="426BAD7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666" w:type="dxa"/>
          </w:tcPr>
          <w:p w14:paraId="37EA670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7472B532" w14:textId="77777777" w:rsidTr="00E367A2">
        <w:trPr>
          <w:jc w:val="center"/>
        </w:trPr>
        <w:tc>
          <w:tcPr>
            <w:tcW w:w="833" w:type="dxa"/>
            <w:vMerge/>
          </w:tcPr>
          <w:p w14:paraId="4B904339" w14:textId="77777777" w:rsidR="00FA7076" w:rsidRPr="00E367A2" w:rsidRDefault="00FA7076" w:rsidP="00E367A2">
            <w:pPr>
              <w:contextualSpacing/>
              <w:jc w:val="both"/>
              <w:rPr>
                <w:rFonts w:ascii="Times New Roman" w:hAnsi="Times New Roman" w:cs="Times New Roman"/>
                <w:sz w:val="20"/>
                <w:szCs w:val="20"/>
              </w:rPr>
            </w:pPr>
          </w:p>
        </w:tc>
        <w:tc>
          <w:tcPr>
            <w:tcW w:w="1751" w:type="dxa"/>
          </w:tcPr>
          <w:p w14:paraId="786FCA8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73B9A1A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337BE41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32E9ADB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49B9B572" w14:textId="77777777" w:rsidR="00FA7076" w:rsidRPr="00E367A2" w:rsidRDefault="00FA7076" w:rsidP="00E367A2">
            <w:pPr>
              <w:contextualSpacing/>
              <w:jc w:val="both"/>
              <w:rPr>
                <w:rFonts w:ascii="Times New Roman" w:hAnsi="Times New Roman" w:cs="Times New Roman"/>
                <w:sz w:val="20"/>
                <w:szCs w:val="20"/>
              </w:rPr>
            </w:pPr>
          </w:p>
        </w:tc>
      </w:tr>
    </w:tbl>
    <w:p w14:paraId="6F9E36BF"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711120DF" wp14:editId="79E5CEE0">
            <wp:extent cx="4472940" cy="2240280"/>
            <wp:effectExtent l="0" t="0" r="3810" b="7620"/>
            <wp:docPr id="772732628" name="Chart 1">
              <a:extLst xmlns:a="http://schemas.openxmlformats.org/drawingml/2006/main">
                <a:ext uri="{FF2B5EF4-FFF2-40B4-BE49-F238E27FC236}">
                  <a16:creationId xmlns:a16="http://schemas.microsoft.com/office/drawing/2014/main" id="{3DF3E9CC-5324-F055-E528-F6EC987C2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D90EDD"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23A739B2"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312B813B" w14:textId="5E7A72B4" w:rsidR="000550CA"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 vast majority (108 out of 138) mistakenly associate higher risk with </w:t>
      </w:r>
      <w:r w:rsidRPr="00E367A2">
        <w:rPr>
          <w:rFonts w:ascii="Times New Roman" w:hAnsi="Times New Roman" w:cs="Times New Roman"/>
          <w:bCs/>
          <w:sz w:val="20"/>
          <w:szCs w:val="20"/>
        </w:rPr>
        <w:t>guaranteed loss</w:t>
      </w:r>
      <w:r w:rsidRPr="00E367A2">
        <w:rPr>
          <w:rFonts w:ascii="Times New Roman" w:hAnsi="Times New Roman" w:cs="Times New Roman"/>
          <w:sz w:val="20"/>
          <w:szCs w:val="20"/>
        </w:rPr>
        <w:t>,</w:t>
      </w:r>
      <w:r w:rsidR="000550CA" w:rsidRPr="00E367A2">
        <w:rPr>
          <w:rFonts w:ascii="Times New Roman" w:hAnsi="Times New Roman" w:cs="Times New Roman"/>
          <w:sz w:val="20"/>
          <w:szCs w:val="20"/>
        </w:rPr>
        <w:t xml:space="preserve"> showing a major misconception. Only</w:t>
      </w:r>
      <w:r w:rsidRPr="00E367A2">
        <w:rPr>
          <w:rFonts w:ascii="Times New Roman" w:hAnsi="Times New Roman" w:cs="Times New Roman"/>
          <w:sz w:val="20"/>
          <w:szCs w:val="20"/>
        </w:rPr>
        <w:t xml:space="preserve"> 18 respondents correctly linked higher risk with </w:t>
      </w:r>
      <w:r w:rsidRPr="00E367A2">
        <w:rPr>
          <w:rFonts w:ascii="Times New Roman" w:hAnsi="Times New Roman" w:cs="Times New Roman"/>
          <w:bCs/>
          <w:sz w:val="20"/>
          <w:szCs w:val="20"/>
        </w:rPr>
        <w:t>higher return</w:t>
      </w:r>
      <w:r w:rsidRPr="00E367A2">
        <w:rPr>
          <w:rFonts w:ascii="Times New Roman" w:hAnsi="Times New Roman" w:cs="Times New Roman"/>
          <w:sz w:val="20"/>
          <w:szCs w:val="20"/>
        </w:rPr>
        <w:t xml:space="preserve">, a </w:t>
      </w:r>
      <w:r w:rsidRPr="00E367A2">
        <w:rPr>
          <w:rFonts w:ascii="Times New Roman" w:hAnsi="Times New Roman" w:cs="Times New Roman"/>
          <w:sz w:val="20"/>
          <w:szCs w:val="20"/>
        </w:rPr>
        <w:t>fu</w:t>
      </w:r>
      <w:r w:rsidR="000550CA" w:rsidRPr="00E367A2">
        <w:rPr>
          <w:rFonts w:ascii="Times New Roman" w:hAnsi="Times New Roman" w:cs="Times New Roman"/>
          <w:sz w:val="20"/>
          <w:szCs w:val="20"/>
        </w:rPr>
        <w:t>ndamental investment principle. Very</w:t>
      </w:r>
      <w:r w:rsidRPr="00E367A2">
        <w:rPr>
          <w:rFonts w:ascii="Times New Roman" w:hAnsi="Times New Roman" w:cs="Times New Roman"/>
          <w:sz w:val="20"/>
          <w:szCs w:val="20"/>
        </w:rPr>
        <w:t xml:space="preserve"> few chose “no impact” (10) or “low return” (2), indicating confusion a</w:t>
      </w:r>
      <w:r w:rsidR="000550CA" w:rsidRPr="00E367A2">
        <w:rPr>
          <w:rFonts w:ascii="Times New Roman" w:hAnsi="Times New Roman" w:cs="Times New Roman"/>
          <w:sz w:val="20"/>
          <w:szCs w:val="20"/>
        </w:rPr>
        <w:t xml:space="preserve">bout the risk-return trade-off. </w:t>
      </w:r>
      <w:r w:rsidRPr="00E367A2">
        <w:rPr>
          <w:rFonts w:ascii="Times New Roman" w:hAnsi="Times New Roman" w:cs="Times New Roman"/>
          <w:sz w:val="20"/>
          <w:szCs w:val="20"/>
        </w:rPr>
        <w:t xml:space="preserve">Overall, the results highlight a </w:t>
      </w:r>
      <w:r w:rsidRPr="00E367A2">
        <w:rPr>
          <w:rFonts w:ascii="Times New Roman" w:hAnsi="Times New Roman" w:cs="Times New Roman"/>
          <w:bCs/>
          <w:sz w:val="20"/>
          <w:szCs w:val="20"/>
        </w:rPr>
        <w:t>critical gap in financial literacy regarding investment risk</w:t>
      </w:r>
      <w:r w:rsidRPr="00E367A2">
        <w:rPr>
          <w:rFonts w:ascii="Times New Roman" w:hAnsi="Times New Roman" w:cs="Times New Roman"/>
          <w:sz w:val="20"/>
          <w:szCs w:val="20"/>
        </w:rPr>
        <w:t>.</w:t>
      </w:r>
    </w:p>
    <w:p w14:paraId="081BE78A" w14:textId="77777777" w:rsidR="00A61429" w:rsidRDefault="00A61429" w:rsidP="0029066D">
      <w:pPr>
        <w:spacing w:before="120" w:after="0" w:line="276" w:lineRule="auto"/>
        <w:jc w:val="both"/>
        <w:rPr>
          <w:rFonts w:ascii="Times New Roman" w:hAnsi="Times New Roman" w:cs="Times New Roman"/>
          <w:b/>
          <w:sz w:val="20"/>
          <w:szCs w:val="20"/>
        </w:rPr>
        <w:sectPr w:rsidR="00A61429" w:rsidSect="00A61429">
          <w:type w:val="continuous"/>
          <w:pgSz w:w="11906" w:h="16838" w:code="9"/>
          <w:pgMar w:top="1440" w:right="1440" w:bottom="1440" w:left="1440" w:header="708" w:footer="708" w:gutter="0"/>
          <w:cols w:num="2" w:space="708"/>
          <w:docGrid w:linePitch="360"/>
        </w:sectPr>
      </w:pPr>
    </w:p>
    <w:p w14:paraId="23927A5F" w14:textId="320928FB" w:rsidR="000550CA" w:rsidRPr="00E367A2" w:rsidRDefault="00195A76"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12</w:t>
      </w:r>
      <w:r w:rsidR="000550CA" w:rsidRPr="00E367A2">
        <w:rPr>
          <w:rFonts w:ascii="Times New Roman" w:hAnsi="Times New Roman" w:cs="Times New Roman"/>
          <w:b/>
          <w:sz w:val="20"/>
          <w:szCs w:val="20"/>
        </w:rPr>
        <w:t>. Low Risk Investment</w:t>
      </w:r>
    </w:p>
    <w:tbl>
      <w:tblPr>
        <w:tblStyle w:val="TableGrid"/>
        <w:tblW w:w="0" w:type="auto"/>
        <w:jc w:val="center"/>
        <w:tblLayout w:type="fixed"/>
        <w:tblLook w:val="0000" w:firstRow="0" w:lastRow="0" w:firstColumn="0" w:lastColumn="0" w:noHBand="0" w:noVBand="0"/>
      </w:tblPr>
      <w:tblGrid>
        <w:gridCol w:w="833"/>
        <w:gridCol w:w="1615"/>
        <w:gridCol w:w="1207"/>
        <w:gridCol w:w="1156"/>
        <w:gridCol w:w="1462"/>
        <w:gridCol w:w="1666"/>
      </w:tblGrid>
      <w:tr w:rsidR="00E367A2" w:rsidRPr="00E367A2" w14:paraId="4ACA86E5" w14:textId="77777777" w:rsidTr="00E367A2">
        <w:trPr>
          <w:jc w:val="center"/>
        </w:trPr>
        <w:tc>
          <w:tcPr>
            <w:tcW w:w="7939" w:type="dxa"/>
            <w:gridSpan w:val="6"/>
          </w:tcPr>
          <w:p w14:paraId="4CFAC0F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Low Risk Investment</w:t>
            </w:r>
          </w:p>
        </w:tc>
      </w:tr>
      <w:tr w:rsidR="00E367A2" w:rsidRPr="00E367A2" w14:paraId="28CD6C7C" w14:textId="77777777" w:rsidTr="00E367A2">
        <w:trPr>
          <w:jc w:val="center"/>
        </w:trPr>
        <w:tc>
          <w:tcPr>
            <w:tcW w:w="2448" w:type="dxa"/>
            <w:gridSpan w:val="2"/>
          </w:tcPr>
          <w:p w14:paraId="56A5E8FD"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35E81E0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24D4F6D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190F73F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00DFE7D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2418A8B5" w14:textId="77777777" w:rsidTr="00E367A2">
        <w:trPr>
          <w:jc w:val="center"/>
        </w:trPr>
        <w:tc>
          <w:tcPr>
            <w:tcW w:w="833" w:type="dxa"/>
            <w:vMerge w:val="restart"/>
          </w:tcPr>
          <w:p w14:paraId="6BC79AE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615" w:type="dxa"/>
          </w:tcPr>
          <w:p w14:paraId="638F5F2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Stock Market</w:t>
            </w:r>
          </w:p>
        </w:tc>
        <w:tc>
          <w:tcPr>
            <w:tcW w:w="1207" w:type="dxa"/>
          </w:tcPr>
          <w:p w14:paraId="0E4371A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68</w:t>
            </w:r>
          </w:p>
        </w:tc>
        <w:tc>
          <w:tcPr>
            <w:tcW w:w="1156" w:type="dxa"/>
          </w:tcPr>
          <w:p w14:paraId="4C6BFCD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c>
          <w:tcPr>
            <w:tcW w:w="1462" w:type="dxa"/>
          </w:tcPr>
          <w:p w14:paraId="65D0AB6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c>
          <w:tcPr>
            <w:tcW w:w="1666" w:type="dxa"/>
          </w:tcPr>
          <w:p w14:paraId="114BCD8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49.3</w:t>
            </w:r>
          </w:p>
        </w:tc>
      </w:tr>
      <w:tr w:rsidR="00E367A2" w:rsidRPr="00E367A2" w14:paraId="7EA8616A" w14:textId="77777777" w:rsidTr="00E367A2">
        <w:trPr>
          <w:jc w:val="center"/>
        </w:trPr>
        <w:tc>
          <w:tcPr>
            <w:tcW w:w="833" w:type="dxa"/>
            <w:vMerge/>
          </w:tcPr>
          <w:p w14:paraId="610CFA79" w14:textId="77777777" w:rsidR="00FA7076" w:rsidRPr="00E367A2" w:rsidRDefault="00FA7076" w:rsidP="00E367A2">
            <w:pPr>
              <w:contextualSpacing/>
              <w:jc w:val="both"/>
              <w:rPr>
                <w:rFonts w:ascii="Times New Roman" w:hAnsi="Times New Roman" w:cs="Times New Roman"/>
                <w:sz w:val="20"/>
                <w:szCs w:val="20"/>
              </w:rPr>
            </w:pPr>
          </w:p>
        </w:tc>
        <w:tc>
          <w:tcPr>
            <w:tcW w:w="1615" w:type="dxa"/>
          </w:tcPr>
          <w:p w14:paraId="49F1E22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Real Estate</w:t>
            </w:r>
          </w:p>
        </w:tc>
        <w:tc>
          <w:tcPr>
            <w:tcW w:w="1207" w:type="dxa"/>
          </w:tcPr>
          <w:p w14:paraId="5F7EB99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24</w:t>
            </w:r>
          </w:p>
        </w:tc>
        <w:tc>
          <w:tcPr>
            <w:tcW w:w="1156" w:type="dxa"/>
          </w:tcPr>
          <w:p w14:paraId="1BA3404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462" w:type="dxa"/>
          </w:tcPr>
          <w:p w14:paraId="60E6D7B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666" w:type="dxa"/>
          </w:tcPr>
          <w:p w14:paraId="12EF3A9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66.7</w:t>
            </w:r>
          </w:p>
        </w:tc>
      </w:tr>
      <w:tr w:rsidR="00E367A2" w:rsidRPr="00E367A2" w14:paraId="005C595A" w14:textId="77777777" w:rsidTr="00E367A2">
        <w:trPr>
          <w:jc w:val="center"/>
        </w:trPr>
        <w:tc>
          <w:tcPr>
            <w:tcW w:w="833" w:type="dxa"/>
            <w:vMerge/>
          </w:tcPr>
          <w:p w14:paraId="1CAE0B2F" w14:textId="77777777" w:rsidR="00FA7076" w:rsidRPr="00E367A2" w:rsidRDefault="00FA7076" w:rsidP="00E367A2">
            <w:pPr>
              <w:contextualSpacing/>
              <w:jc w:val="both"/>
              <w:rPr>
                <w:rFonts w:ascii="Times New Roman" w:hAnsi="Times New Roman" w:cs="Times New Roman"/>
                <w:sz w:val="20"/>
                <w:szCs w:val="20"/>
              </w:rPr>
            </w:pPr>
          </w:p>
        </w:tc>
        <w:tc>
          <w:tcPr>
            <w:tcW w:w="1615" w:type="dxa"/>
          </w:tcPr>
          <w:p w14:paraId="5BEFBE4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Fixed Deposit</w:t>
            </w:r>
          </w:p>
        </w:tc>
        <w:tc>
          <w:tcPr>
            <w:tcW w:w="1207" w:type="dxa"/>
          </w:tcPr>
          <w:p w14:paraId="17645A9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8</w:t>
            </w:r>
          </w:p>
        </w:tc>
        <w:tc>
          <w:tcPr>
            <w:tcW w:w="1156" w:type="dxa"/>
          </w:tcPr>
          <w:p w14:paraId="7FF49C7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c>
          <w:tcPr>
            <w:tcW w:w="1462" w:type="dxa"/>
          </w:tcPr>
          <w:p w14:paraId="6624396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c>
          <w:tcPr>
            <w:tcW w:w="1666" w:type="dxa"/>
          </w:tcPr>
          <w:p w14:paraId="16BA33A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72.5</w:t>
            </w:r>
          </w:p>
        </w:tc>
      </w:tr>
      <w:tr w:rsidR="00E367A2" w:rsidRPr="00E367A2" w14:paraId="083DE19A" w14:textId="77777777" w:rsidTr="00E367A2">
        <w:trPr>
          <w:jc w:val="center"/>
        </w:trPr>
        <w:tc>
          <w:tcPr>
            <w:tcW w:w="833" w:type="dxa"/>
            <w:vMerge/>
          </w:tcPr>
          <w:p w14:paraId="71DC7057" w14:textId="77777777" w:rsidR="00FA7076" w:rsidRPr="00E367A2" w:rsidRDefault="00FA7076" w:rsidP="00E367A2">
            <w:pPr>
              <w:contextualSpacing/>
              <w:jc w:val="both"/>
              <w:rPr>
                <w:rFonts w:ascii="Times New Roman" w:hAnsi="Times New Roman" w:cs="Times New Roman"/>
                <w:sz w:val="20"/>
                <w:szCs w:val="20"/>
              </w:rPr>
            </w:pPr>
          </w:p>
        </w:tc>
        <w:tc>
          <w:tcPr>
            <w:tcW w:w="1615" w:type="dxa"/>
          </w:tcPr>
          <w:p w14:paraId="30CE9E9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Cryptocurrency</w:t>
            </w:r>
          </w:p>
        </w:tc>
        <w:tc>
          <w:tcPr>
            <w:tcW w:w="1207" w:type="dxa"/>
          </w:tcPr>
          <w:p w14:paraId="01A7A93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38</w:t>
            </w:r>
          </w:p>
        </w:tc>
        <w:tc>
          <w:tcPr>
            <w:tcW w:w="1156" w:type="dxa"/>
          </w:tcPr>
          <w:p w14:paraId="1813044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462" w:type="dxa"/>
          </w:tcPr>
          <w:p w14:paraId="2C97460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27.5</w:t>
            </w:r>
          </w:p>
        </w:tc>
        <w:tc>
          <w:tcPr>
            <w:tcW w:w="1666" w:type="dxa"/>
          </w:tcPr>
          <w:p w14:paraId="4267192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6E509221" w14:textId="77777777" w:rsidTr="00E367A2">
        <w:trPr>
          <w:jc w:val="center"/>
        </w:trPr>
        <w:tc>
          <w:tcPr>
            <w:tcW w:w="833" w:type="dxa"/>
            <w:vMerge/>
          </w:tcPr>
          <w:p w14:paraId="490491AF" w14:textId="77777777" w:rsidR="00FA7076" w:rsidRPr="00E367A2" w:rsidRDefault="00FA7076" w:rsidP="00E367A2">
            <w:pPr>
              <w:contextualSpacing/>
              <w:jc w:val="both"/>
              <w:rPr>
                <w:rFonts w:ascii="Times New Roman" w:hAnsi="Times New Roman" w:cs="Times New Roman"/>
                <w:sz w:val="20"/>
                <w:szCs w:val="20"/>
              </w:rPr>
            </w:pPr>
          </w:p>
        </w:tc>
        <w:tc>
          <w:tcPr>
            <w:tcW w:w="1615" w:type="dxa"/>
          </w:tcPr>
          <w:p w14:paraId="4F55BE0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2767785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477FA59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0700C73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43E61F6E" w14:textId="77777777" w:rsidR="00FA7076" w:rsidRPr="00E367A2" w:rsidRDefault="00FA7076" w:rsidP="00E367A2">
            <w:pPr>
              <w:contextualSpacing/>
              <w:jc w:val="both"/>
              <w:rPr>
                <w:rFonts w:ascii="Times New Roman" w:hAnsi="Times New Roman" w:cs="Times New Roman"/>
                <w:sz w:val="20"/>
                <w:szCs w:val="20"/>
              </w:rPr>
            </w:pPr>
          </w:p>
        </w:tc>
      </w:tr>
    </w:tbl>
    <w:p w14:paraId="1F640EA4"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26E0D198" wp14:editId="7ED9A6B9">
            <wp:extent cx="5295900" cy="2095500"/>
            <wp:effectExtent l="0" t="0" r="0" b="0"/>
            <wp:docPr id="728999716" name="Chart 1">
              <a:extLst xmlns:a="http://schemas.openxmlformats.org/drawingml/2006/main">
                <a:ext uri="{FF2B5EF4-FFF2-40B4-BE49-F238E27FC236}">
                  <a16:creationId xmlns:a16="http://schemas.microsoft.com/office/drawing/2014/main" id="{5FCC6A4F-32D6-E1E4-F2B8-F538A24AA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A9BE50"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5C925D6D"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7617131C" w14:textId="7B107E56"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Most respondents (68) incorrectly identified the stock market as a low-risk investment.</w:t>
      </w:r>
      <w:r w:rsidRPr="00E367A2">
        <w:rPr>
          <w:rFonts w:ascii="Times New Roman" w:hAnsi="Times New Roman" w:cs="Times New Roman"/>
          <w:sz w:val="20"/>
          <w:szCs w:val="20"/>
        </w:rPr>
        <w:br/>
        <w:t xml:space="preserve">Only 8 participants correctly selected fixed deposits, </w:t>
      </w:r>
      <w:r w:rsidRPr="00E367A2">
        <w:rPr>
          <w:rFonts w:ascii="Times New Roman" w:hAnsi="Times New Roman" w:cs="Times New Roman"/>
          <w:sz w:val="20"/>
          <w:szCs w:val="20"/>
        </w:rPr>
        <w:t>which are conventionally low-risk.</w:t>
      </w:r>
      <w:r w:rsidRPr="00E367A2">
        <w:rPr>
          <w:rFonts w:ascii="Times New Roman" w:hAnsi="Times New Roman" w:cs="Times New Roman"/>
          <w:sz w:val="20"/>
          <w:szCs w:val="20"/>
        </w:rPr>
        <w:br/>
        <w:t>38 chose cryptocurrency—a highly volatile asset—showing a se</w:t>
      </w:r>
      <w:r w:rsidR="000550CA" w:rsidRPr="00E367A2">
        <w:rPr>
          <w:rFonts w:ascii="Times New Roman" w:hAnsi="Times New Roman" w:cs="Times New Roman"/>
          <w:sz w:val="20"/>
          <w:szCs w:val="20"/>
        </w:rPr>
        <w:t xml:space="preserve">rious misunderstanding of risk. </w:t>
      </w:r>
      <w:r w:rsidRPr="00E367A2">
        <w:rPr>
          <w:rFonts w:ascii="Times New Roman" w:hAnsi="Times New Roman" w:cs="Times New Roman"/>
          <w:sz w:val="20"/>
          <w:szCs w:val="20"/>
        </w:rPr>
        <w:t xml:space="preserve">Overall, the data </w:t>
      </w:r>
      <w:r w:rsidR="000550CA" w:rsidRPr="00E367A2">
        <w:rPr>
          <w:rFonts w:ascii="Times New Roman" w:hAnsi="Times New Roman" w:cs="Times New Roman"/>
          <w:sz w:val="20"/>
          <w:szCs w:val="20"/>
        </w:rPr>
        <w:t>reflect</w:t>
      </w:r>
      <w:r w:rsidRPr="00E367A2">
        <w:rPr>
          <w:rFonts w:ascii="Times New Roman" w:hAnsi="Times New Roman" w:cs="Times New Roman"/>
          <w:sz w:val="20"/>
          <w:szCs w:val="20"/>
        </w:rPr>
        <w:t xml:space="preserve"> confusion and poor awareness about safe investment options among the 138 respondents.</w:t>
      </w:r>
    </w:p>
    <w:p w14:paraId="33F6D1BD"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num="2" w:space="708"/>
          <w:docGrid w:linePitch="360"/>
        </w:sectPr>
      </w:pPr>
    </w:p>
    <w:p w14:paraId="6E450451" w14:textId="42CB972A"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Section D: Investment Behaviour</w:t>
      </w:r>
    </w:p>
    <w:p w14:paraId="5BAF8831" w14:textId="049E8B0C" w:rsidR="0055072E" w:rsidRPr="00E367A2" w:rsidRDefault="0055072E"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13.Current Investment</w:t>
      </w:r>
    </w:p>
    <w:tbl>
      <w:tblPr>
        <w:tblStyle w:val="TableGrid"/>
        <w:tblW w:w="0" w:type="auto"/>
        <w:jc w:val="center"/>
        <w:tblLayout w:type="fixed"/>
        <w:tblLook w:val="0000" w:firstRow="0" w:lastRow="0" w:firstColumn="0" w:lastColumn="0" w:noHBand="0" w:noVBand="0"/>
      </w:tblPr>
      <w:tblGrid>
        <w:gridCol w:w="833"/>
        <w:gridCol w:w="1768"/>
        <w:gridCol w:w="1207"/>
        <w:gridCol w:w="1156"/>
        <w:gridCol w:w="1462"/>
        <w:gridCol w:w="1666"/>
      </w:tblGrid>
      <w:tr w:rsidR="00E367A2" w:rsidRPr="00E367A2" w14:paraId="7FF9CE26" w14:textId="77777777" w:rsidTr="00E367A2">
        <w:trPr>
          <w:jc w:val="center"/>
        </w:trPr>
        <w:tc>
          <w:tcPr>
            <w:tcW w:w="8092" w:type="dxa"/>
            <w:gridSpan w:val="6"/>
          </w:tcPr>
          <w:p w14:paraId="72E2C05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IF YES</w:t>
            </w:r>
          </w:p>
        </w:tc>
      </w:tr>
      <w:tr w:rsidR="00E367A2" w:rsidRPr="00E367A2" w14:paraId="1D7590B2" w14:textId="77777777" w:rsidTr="00E367A2">
        <w:trPr>
          <w:jc w:val="center"/>
        </w:trPr>
        <w:tc>
          <w:tcPr>
            <w:tcW w:w="2601" w:type="dxa"/>
            <w:gridSpan w:val="2"/>
          </w:tcPr>
          <w:p w14:paraId="2D669472"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5359B10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32E85A2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16D7DF3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729A1DC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3ADB3762" w14:textId="77777777" w:rsidTr="00E367A2">
        <w:trPr>
          <w:jc w:val="center"/>
        </w:trPr>
        <w:tc>
          <w:tcPr>
            <w:tcW w:w="833" w:type="dxa"/>
            <w:vMerge w:val="restart"/>
          </w:tcPr>
          <w:p w14:paraId="423CCD1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768" w:type="dxa"/>
          </w:tcPr>
          <w:p w14:paraId="3193B4D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Savings Account</w:t>
            </w:r>
          </w:p>
        </w:tc>
        <w:tc>
          <w:tcPr>
            <w:tcW w:w="1207" w:type="dxa"/>
          </w:tcPr>
          <w:p w14:paraId="0A8D16F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78</w:t>
            </w:r>
          </w:p>
        </w:tc>
        <w:tc>
          <w:tcPr>
            <w:tcW w:w="1156" w:type="dxa"/>
          </w:tcPr>
          <w:p w14:paraId="61B5BA9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56.5</w:t>
            </w:r>
          </w:p>
        </w:tc>
        <w:tc>
          <w:tcPr>
            <w:tcW w:w="1462" w:type="dxa"/>
          </w:tcPr>
          <w:p w14:paraId="13C3548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56.5</w:t>
            </w:r>
          </w:p>
        </w:tc>
        <w:tc>
          <w:tcPr>
            <w:tcW w:w="1666" w:type="dxa"/>
          </w:tcPr>
          <w:p w14:paraId="478E583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56.5</w:t>
            </w:r>
          </w:p>
        </w:tc>
      </w:tr>
      <w:tr w:rsidR="00E367A2" w:rsidRPr="00E367A2" w14:paraId="231EEF08" w14:textId="77777777" w:rsidTr="00E367A2">
        <w:trPr>
          <w:jc w:val="center"/>
        </w:trPr>
        <w:tc>
          <w:tcPr>
            <w:tcW w:w="833" w:type="dxa"/>
            <w:vMerge/>
          </w:tcPr>
          <w:p w14:paraId="06E878AE" w14:textId="77777777" w:rsidR="00FA7076" w:rsidRPr="00E367A2" w:rsidRDefault="00FA7076" w:rsidP="00E367A2">
            <w:pPr>
              <w:contextualSpacing/>
              <w:jc w:val="both"/>
              <w:rPr>
                <w:rFonts w:ascii="Times New Roman" w:hAnsi="Times New Roman" w:cs="Times New Roman"/>
                <w:sz w:val="20"/>
                <w:szCs w:val="20"/>
              </w:rPr>
            </w:pPr>
          </w:p>
        </w:tc>
        <w:tc>
          <w:tcPr>
            <w:tcW w:w="1768" w:type="dxa"/>
          </w:tcPr>
          <w:p w14:paraId="1F6A690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Fixed Account</w:t>
            </w:r>
          </w:p>
        </w:tc>
        <w:tc>
          <w:tcPr>
            <w:tcW w:w="1207" w:type="dxa"/>
          </w:tcPr>
          <w:p w14:paraId="504C05C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60</w:t>
            </w:r>
          </w:p>
        </w:tc>
        <w:tc>
          <w:tcPr>
            <w:tcW w:w="1156" w:type="dxa"/>
          </w:tcPr>
          <w:p w14:paraId="0F85E9F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43.5</w:t>
            </w:r>
          </w:p>
        </w:tc>
        <w:tc>
          <w:tcPr>
            <w:tcW w:w="1462" w:type="dxa"/>
          </w:tcPr>
          <w:p w14:paraId="1F6DD10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43.5</w:t>
            </w:r>
          </w:p>
        </w:tc>
        <w:tc>
          <w:tcPr>
            <w:tcW w:w="1666" w:type="dxa"/>
          </w:tcPr>
          <w:p w14:paraId="52F8854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4D16BA75" w14:textId="77777777" w:rsidTr="00E367A2">
        <w:trPr>
          <w:jc w:val="center"/>
        </w:trPr>
        <w:tc>
          <w:tcPr>
            <w:tcW w:w="833" w:type="dxa"/>
            <w:vMerge/>
          </w:tcPr>
          <w:p w14:paraId="74C4DCBF" w14:textId="77777777" w:rsidR="00FA7076" w:rsidRPr="00E367A2" w:rsidRDefault="00FA7076" w:rsidP="00E367A2">
            <w:pPr>
              <w:contextualSpacing/>
              <w:jc w:val="both"/>
              <w:rPr>
                <w:rFonts w:ascii="Times New Roman" w:hAnsi="Times New Roman" w:cs="Times New Roman"/>
                <w:sz w:val="20"/>
                <w:szCs w:val="20"/>
              </w:rPr>
            </w:pPr>
          </w:p>
        </w:tc>
        <w:tc>
          <w:tcPr>
            <w:tcW w:w="1768" w:type="dxa"/>
          </w:tcPr>
          <w:p w14:paraId="3F55793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4D18B15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475909F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3DDFFFA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555F88FA" w14:textId="77777777" w:rsidR="00FA7076" w:rsidRPr="00E367A2" w:rsidRDefault="00FA7076" w:rsidP="00E367A2">
            <w:pPr>
              <w:contextualSpacing/>
              <w:jc w:val="both"/>
              <w:rPr>
                <w:rFonts w:ascii="Times New Roman" w:hAnsi="Times New Roman" w:cs="Times New Roman"/>
                <w:sz w:val="20"/>
                <w:szCs w:val="20"/>
              </w:rPr>
            </w:pPr>
          </w:p>
        </w:tc>
      </w:tr>
    </w:tbl>
    <w:p w14:paraId="7BFBF9F6" w14:textId="77777777"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02ED1BD5" wp14:editId="5D516CE1">
            <wp:extent cx="4572000" cy="2743200"/>
            <wp:effectExtent l="0" t="0" r="0" b="0"/>
            <wp:docPr id="793482751" name="Chart 1">
              <a:extLst xmlns:a="http://schemas.openxmlformats.org/drawingml/2006/main">
                <a:ext uri="{FF2B5EF4-FFF2-40B4-BE49-F238E27FC236}">
                  <a16:creationId xmlns:a16="http://schemas.microsoft.com/office/drawing/2014/main" id="{61251EE1-7F3E-626E-81A0-50BC52064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B90CD6"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0CB13BF2"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6142478B" w14:textId="19440195" w:rsidR="00170E47"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 majority of respondents prefer savings accounts (78) and fixed accounts (60), reflecting </w:t>
      </w:r>
      <w:r w:rsidR="00170E47" w:rsidRPr="00E367A2">
        <w:rPr>
          <w:rFonts w:ascii="Times New Roman" w:hAnsi="Times New Roman" w:cs="Times New Roman"/>
          <w:sz w:val="20"/>
          <w:szCs w:val="20"/>
        </w:rPr>
        <w:t xml:space="preserve">a highly </w:t>
      </w:r>
      <w:r w:rsidR="00170E47" w:rsidRPr="00E367A2">
        <w:rPr>
          <w:rFonts w:ascii="Times New Roman" w:hAnsi="Times New Roman" w:cs="Times New Roman"/>
          <w:sz w:val="20"/>
          <w:szCs w:val="20"/>
        </w:rPr>
        <w:t>conservative approach. Respondents</w:t>
      </w:r>
      <w:r w:rsidRPr="00E367A2">
        <w:rPr>
          <w:rFonts w:ascii="Times New Roman" w:hAnsi="Times New Roman" w:cs="Times New Roman"/>
          <w:sz w:val="20"/>
          <w:szCs w:val="20"/>
        </w:rPr>
        <w:t xml:space="preserve"> selected options like mutual funds, </w:t>
      </w:r>
      <w:r w:rsidR="00170E47" w:rsidRPr="00E367A2">
        <w:rPr>
          <w:rFonts w:ascii="Times New Roman" w:hAnsi="Times New Roman" w:cs="Times New Roman"/>
          <w:sz w:val="20"/>
          <w:szCs w:val="20"/>
        </w:rPr>
        <w:t xml:space="preserve">the </w:t>
      </w:r>
      <w:r w:rsidRPr="00E367A2">
        <w:rPr>
          <w:rFonts w:ascii="Times New Roman" w:hAnsi="Times New Roman" w:cs="Times New Roman"/>
          <w:sz w:val="20"/>
          <w:szCs w:val="20"/>
        </w:rPr>
        <w:t>stock market, real e</w:t>
      </w:r>
      <w:r w:rsidR="00170E47" w:rsidRPr="00E367A2">
        <w:rPr>
          <w:rFonts w:ascii="Times New Roman" w:hAnsi="Times New Roman" w:cs="Times New Roman"/>
          <w:sz w:val="20"/>
          <w:szCs w:val="20"/>
        </w:rPr>
        <w:t xml:space="preserve">state, gold, or cryptocurrency. </w:t>
      </w:r>
      <w:r w:rsidRPr="00E367A2">
        <w:rPr>
          <w:rFonts w:ascii="Times New Roman" w:hAnsi="Times New Roman" w:cs="Times New Roman"/>
          <w:sz w:val="20"/>
          <w:szCs w:val="20"/>
        </w:rPr>
        <w:t>This indicates a lack of diversification and low risk a</w:t>
      </w:r>
      <w:r w:rsidR="00170E47" w:rsidRPr="00E367A2">
        <w:rPr>
          <w:rFonts w:ascii="Times New Roman" w:hAnsi="Times New Roman" w:cs="Times New Roman"/>
          <w:sz w:val="20"/>
          <w:szCs w:val="20"/>
        </w:rPr>
        <w:t xml:space="preserve">ppetite among the </w:t>
      </w:r>
      <w:r w:rsidR="00170E47" w:rsidRPr="00E367A2">
        <w:rPr>
          <w:rFonts w:ascii="Times New Roman" w:hAnsi="Times New Roman" w:cs="Times New Roman"/>
          <w:sz w:val="20"/>
          <w:szCs w:val="20"/>
        </w:rPr>
        <w:lastRenderedPageBreak/>
        <w:t xml:space="preserve">participants. </w:t>
      </w:r>
      <w:r w:rsidRPr="00E367A2">
        <w:rPr>
          <w:rFonts w:ascii="Times New Roman" w:hAnsi="Times New Roman" w:cs="Times New Roman"/>
          <w:sz w:val="20"/>
          <w:szCs w:val="20"/>
        </w:rPr>
        <w:t>Overall, the 138 responses reveal a strong preference for traditional, low-return investment options.</w:t>
      </w:r>
    </w:p>
    <w:p w14:paraId="1C2E7777"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708" w:footer="708" w:gutter="0"/>
          <w:cols w:num="2" w:space="708"/>
          <w:docGrid w:linePitch="360"/>
        </w:sectPr>
      </w:pPr>
    </w:p>
    <w:p w14:paraId="767F5F44" w14:textId="79501802" w:rsidR="0055072E" w:rsidRPr="00E367A2" w:rsidRDefault="0055072E"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14.Reason of Investment:</w:t>
      </w:r>
    </w:p>
    <w:tbl>
      <w:tblPr>
        <w:tblStyle w:val="TableGrid"/>
        <w:tblW w:w="0" w:type="auto"/>
        <w:jc w:val="center"/>
        <w:tblLayout w:type="fixed"/>
        <w:tblLook w:val="0000" w:firstRow="0" w:lastRow="0" w:firstColumn="0" w:lastColumn="0" w:noHBand="0" w:noVBand="0"/>
      </w:tblPr>
      <w:tblGrid>
        <w:gridCol w:w="833"/>
        <w:gridCol w:w="2074"/>
        <w:gridCol w:w="1207"/>
        <w:gridCol w:w="1156"/>
        <w:gridCol w:w="1462"/>
        <w:gridCol w:w="1666"/>
      </w:tblGrid>
      <w:tr w:rsidR="00E367A2" w:rsidRPr="00E367A2" w14:paraId="3695529E" w14:textId="77777777" w:rsidTr="00E367A2">
        <w:trPr>
          <w:jc w:val="center"/>
        </w:trPr>
        <w:tc>
          <w:tcPr>
            <w:tcW w:w="8398" w:type="dxa"/>
            <w:gridSpan w:val="6"/>
          </w:tcPr>
          <w:p w14:paraId="7BD507B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Primary reason for investing?</w:t>
            </w:r>
          </w:p>
        </w:tc>
      </w:tr>
      <w:tr w:rsidR="00E367A2" w:rsidRPr="00E367A2" w14:paraId="500FD411" w14:textId="77777777" w:rsidTr="00E367A2">
        <w:trPr>
          <w:jc w:val="center"/>
        </w:trPr>
        <w:tc>
          <w:tcPr>
            <w:tcW w:w="2907" w:type="dxa"/>
            <w:gridSpan w:val="2"/>
          </w:tcPr>
          <w:p w14:paraId="198F4327"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280FFB2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08229B5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32AD93A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4807032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707F32F6" w14:textId="77777777" w:rsidTr="00E367A2">
        <w:trPr>
          <w:jc w:val="center"/>
        </w:trPr>
        <w:tc>
          <w:tcPr>
            <w:tcW w:w="833" w:type="dxa"/>
            <w:vMerge w:val="restart"/>
          </w:tcPr>
          <w:p w14:paraId="0A476A2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2074" w:type="dxa"/>
          </w:tcPr>
          <w:p w14:paraId="70C0ACD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Retirement Savings</w:t>
            </w:r>
          </w:p>
        </w:tc>
        <w:tc>
          <w:tcPr>
            <w:tcW w:w="1207" w:type="dxa"/>
          </w:tcPr>
          <w:p w14:paraId="2AB491C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32</w:t>
            </w:r>
          </w:p>
        </w:tc>
        <w:tc>
          <w:tcPr>
            <w:tcW w:w="1156" w:type="dxa"/>
          </w:tcPr>
          <w:p w14:paraId="6C4A0E2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23.2</w:t>
            </w:r>
          </w:p>
        </w:tc>
        <w:tc>
          <w:tcPr>
            <w:tcW w:w="1462" w:type="dxa"/>
          </w:tcPr>
          <w:p w14:paraId="700E069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23.2</w:t>
            </w:r>
          </w:p>
        </w:tc>
        <w:tc>
          <w:tcPr>
            <w:tcW w:w="1666" w:type="dxa"/>
          </w:tcPr>
          <w:p w14:paraId="651EFA8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23.2</w:t>
            </w:r>
          </w:p>
        </w:tc>
      </w:tr>
      <w:tr w:rsidR="00E367A2" w:rsidRPr="00E367A2" w14:paraId="284ABD5C" w14:textId="77777777" w:rsidTr="00E367A2">
        <w:trPr>
          <w:jc w:val="center"/>
        </w:trPr>
        <w:tc>
          <w:tcPr>
            <w:tcW w:w="833" w:type="dxa"/>
            <w:vMerge/>
          </w:tcPr>
          <w:p w14:paraId="5AD3009A" w14:textId="77777777" w:rsidR="00FA7076" w:rsidRPr="00E367A2" w:rsidRDefault="00FA7076" w:rsidP="00E367A2">
            <w:pPr>
              <w:contextualSpacing/>
              <w:jc w:val="both"/>
              <w:rPr>
                <w:rFonts w:ascii="Times New Roman" w:hAnsi="Times New Roman" w:cs="Times New Roman"/>
                <w:sz w:val="20"/>
                <w:szCs w:val="20"/>
              </w:rPr>
            </w:pPr>
          </w:p>
        </w:tc>
        <w:tc>
          <w:tcPr>
            <w:tcW w:w="2074" w:type="dxa"/>
          </w:tcPr>
          <w:p w14:paraId="6BCAE9E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Emergency Fund</w:t>
            </w:r>
          </w:p>
        </w:tc>
        <w:tc>
          <w:tcPr>
            <w:tcW w:w="1207" w:type="dxa"/>
          </w:tcPr>
          <w:p w14:paraId="627B906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44</w:t>
            </w:r>
          </w:p>
        </w:tc>
        <w:tc>
          <w:tcPr>
            <w:tcW w:w="1156" w:type="dxa"/>
          </w:tcPr>
          <w:p w14:paraId="3960228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462" w:type="dxa"/>
          </w:tcPr>
          <w:p w14:paraId="38195DB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666" w:type="dxa"/>
          </w:tcPr>
          <w:p w14:paraId="402D636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55.1</w:t>
            </w:r>
          </w:p>
        </w:tc>
      </w:tr>
      <w:tr w:rsidR="00E367A2" w:rsidRPr="00E367A2" w14:paraId="57F7C028" w14:textId="77777777" w:rsidTr="00E367A2">
        <w:trPr>
          <w:jc w:val="center"/>
        </w:trPr>
        <w:tc>
          <w:tcPr>
            <w:tcW w:w="833" w:type="dxa"/>
            <w:vMerge/>
          </w:tcPr>
          <w:p w14:paraId="564F3794" w14:textId="77777777" w:rsidR="00FA7076" w:rsidRPr="00E367A2" w:rsidRDefault="00FA7076" w:rsidP="00E367A2">
            <w:pPr>
              <w:contextualSpacing/>
              <w:jc w:val="both"/>
              <w:rPr>
                <w:rFonts w:ascii="Times New Roman" w:hAnsi="Times New Roman" w:cs="Times New Roman"/>
                <w:sz w:val="20"/>
                <w:szCs w:val="20"/>
              </w:rPr>
            </w:pPr>
          </w:p>
        </w:tc>
        <w:tc>
          <w:tcPr>
            <w:tcW w:w="2074" w:type="dxa"/>
          </w:tcPr>
          <w:p w14:paraId="38141BB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Wealth Creation</w:t>
            </w:r>
          </w:p>
        </w:tc>
        <w:tc>
          <w:tcPr>
            <w:tcW w:w="1207" w:type="dxa"/>
          </w:tcPr>
          <w:p w14:paraId="7677BAA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w:t>
            </w:r>
          </w:p>
        </w:tc>
        <w:tc>
          <w:tcPr>
            <w:tcW w:w="1156" w:type="dxa"/>
          </w:tcPr>
          <w:p w14:paraId="6A4098F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462" w:type="dxa"/>
          </w:tcPr>
          <w:p w14:paraId="4B38548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666" w:type="dxa"/>
          </w:tcPr>
          <w:p w14:paraId="4B10A0D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62.3</w:t>
            </w:r>
          </w:p>
        </w:tc>
      </w:tr>
      <w:tr w:rsidR="00E367A2" w:rsidRPr="00E367A2" w14:paraId="1D776475" w14:textId="77777777" w:rsidTr="00E367A2">
        <w:trPr>
          <w:jc w:val="center"/>
        </w:trPr>
        <w:tc>
          <w:tcPr>
            <w:tcW w:w="833" w:type="dxa"/>
            <w:vMerge/>
          </w:tcPr>
          <w:p w14:paraId="5693AD20" w14:textId="77777777" w:rsidR="00FA7076" w:rsidRPr="00E367A2" w:rsidRDefault="00FA7076" w:rsidP="00E367A2">
            <w:pPr>
              <w:contextualSpacing/>
              <w:jc w:val="both"/>
              <w:rPr>
                <w:rFonts w:ascii="Times New Roman" w:hAnsi="Times New Roman" w:cs="Times New Roman"/>
                <w:sz w:val="20"/>
                <w:szCs w:val="20"/>
              </w:rPr>
            </w:pPr>
          </w:p>
        </w:tc>
        <w:tc>
          <w:tcPr>
            <w:tcW w:w="2074" w:type="dxa"/>
          </w:tcPr>
          <w:p w14:paraId="7A65825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Peer Influence</w:t>
            </w:r>
          </w:p>
        </w:tc>
        <w:tc>
          <w:tcPr>
            <w:tcW w:w="1207" w:type="dxa"/>
          </w:tcPr>
          <w:p w14:paraId="2346E62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52</w:t>
            </w:r>
          </w:p>
        </w:tc>
        <w:tc>
          <w:tcPr>
            <w:tcW w:w="1156" w:type="dxa"/>
          </w:tcPr>
          <w:p w14:paraId="71F935C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37.7</w:t>
            </w:r>
          </w:p>
        </w:tc>
        <w:tc>
          <w:tcPr>
            <w:tcW w:w="1462" w:type="dxa"/>
          </w:tcPr>
          <w:p w14:paraId="0090B63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37.7</w:t>
            </w:r>
          </w:p>
        </w:tc>
        <w:tc>
          <w:tcPr>
            <w:tcW w:w="1666" w:type="dxa"/>
          </w:tcPr>
          <w:p w14:paraId="4AAB01F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316C7908" w14:textId="77777777" w:rsidTr="00E367A2">
        <w:trPr>
          <w:jc w:val="center"/>
        </w:trPr>
        <w:tc>
          <w:tcPr>
            <w:tcW w:w="833" w:type="dxa"/>
            <w:vMerge/>
          </w:tcPr>
          <w:p w14:paraId="0855A7E3" w14:textId="77777777" w:rsidR="00FA7076" w:rsidRPr="00E367A2" w:rsidRDefault="00FA7076" w:rsidP="00E367A2">
            <w:pPr>
              <w:contextualSpacing/>
              <w:jc w:val="both"/>
              <w:rPr>
                <w:rFonts w:ascii="Times New Roman" w:hAnsi="Times New Roman" w:cs="Times New Roman"/>
                <w:sz w:val="20"/>
                <w:szCs w:val="20"/>
              </w:rPr>
            </w:pPr>
          </w:p>
        </w:tc>
        <w:tc>
          <w:tcPr>
            <w:tcW w:w="2074" w:type="dxa"/>
          </w:tcPr>
          <w:p w14:paraId="5916589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4951DB1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644E142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2269365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3955F388" w14:textId="77777777" w:rsidR="00FA7076" w:rsidRPr="00E367A2" w:rsidRDefault="00FA7076" w:rsidP="00E367A2">
            <w:pPr>
              <w:contextualSpacing/>
              <w:jc w:val="both"/>
              <w:rPr>
                <w:rFonts w:ascii="Times New Roman" w:hAnsi="Times New Roman" w:cs="Times New Roman"/>
                <w:sz w:val="20"/>
                <w:szCs w:val="20"/>
              </w:rPr>
            </w:pPr>
          </w:p>
        </w:tc>
      </w:tr>
    </w:tbl>
    <w:p w14:paraId="296BEC78"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6EAADE89" wp14:editId="2C282821">
            <wp:extent cx="4572000" cy="2743200"/>
            <wp:effectExtent l="0" t="0" r="0" b="0"/>
            <wp:docPr id="275518278" name="Chart 1">
              <a:extLst xmlns:a="http://schemas.openxmlformats.org/drawingml/2006/main">
                <a:ext uri="{FF2B5EF4-FFF2-40B4-BE49-F238E27FC236}">
                  <a16:creationId xmlns:a16="http://schemas.microsoft.com/office/drawing/2014/main" id="{2B92052A-327B-B7CC-CBE2-AB3A49E9B3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B803FD"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space="708"/>
          <w:docGrid w:linePitch="360"/>
        </w:sectPr>
      </w:pPr>
    </w:p>
    <w:p w14:paraId="2C5B72CA"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4B4F75E4" w14:textId="1722F603"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Among 138 respondents, </w:t>
      </w:r>
      <w:r w:rsidRPr="00E367A2">
        <w:rPr>
          <w:rFonts w:ascii="Times New Roman" w:hAnsi="Times New Roman" w:cs="Times New Roman"/>
          <w:bCs/>
          <w:sz w:val="20"/>
          <w:szCs w:val="20"/>
        </w:rPr>
        <w:t>Peer Influence</w:t>
      </w:r>
      <w:r w:rsidRPr="00E367A2">
        <w:rPr>
          <w:rFonts w:ascii="Times New Roman" w:hAnsi="Times New Roman" w:cs="Times New Roman"/>
          <w:sz w:val="20"/>
          <w:szCs w:val="20"/>
        </w:rPr>
        <w:t xml:space="preserve"> (52) emerged as the strongest mo</w:t>
      </w:r>
      <w:r w:rsidR="00170E47" w:rsidRPr="00E367A2">
        <w:rPr>
          <w:rFonts w:ascii="Times New Roman" w:hAnsi="Times New Roman" w:cs="Times New Roman"/>
          <w:sz w:val="20"/>
          <w:szCs w:val="20"/>
        </w:rPr>
        <w:t xml:space="preserve">tivator for financial behaviour. </w:t>
      </w:r>
      <w:r w:rsidRPr="00E367A2">
        <w:rPr>
          <w:rFonts w:ascii="Times New Roman" w:hAnsi="Times New Roman" w:cs="Times New Roman"/>
          <w:bCs/>
          <w:sz w:val="20"/>
          <w:szCs w:val="20"/>
        </w:rPr>
        <w:t>Emergency Fund</w:t>
      </w:r>
      <w:r w:rsidRPr="00E367A2">
        <w:rPr>
          <w:rFonts w:ascii="Times New Roman" w:hAnsi="Times New Roman" w:cs="Times New Roman"/>
          <w:sz w:val="20"/>
          <w:szCs w:val="20"/>
        </w:rPr>
        <w:t xml:space="preserve"> (44) was the second most </w:t>
      </w:r>
      <w:r w:rsidR="00170E47" w:rsidRPr="00E367A2">
        <w:rPr>
          <w:rFonts w:ascii="Times New Roman" w:hAnsi="Times New Roman" w:cs="Times New Roman"/>
          <w:sz w:val="20"/>
          <w:szCs w:val="20"/>
        </w:rPr>
        <w:t>prioritised</w:t>
      </w:r>
      <w:r w:rsidRPr="00E367A2">
        <w:rPr>
          <w:rFonts w:ascii="Times New Roman" w:hAnsi="Times New Roman" w:cs="Times New Roman"/>
          <w:sz w:val="20"/>
          <w:szCs w:val="20"/>
        </w:rPr>
        <w:t xml:space="preserve"> goal, indicating a focus on sho</w:t>
      </w:r>
      <w:r w:rsidR="00170E47" w:rsidRPr="00E367A2">
        <w:rPr>
          <w:rFonts w:ascii="Times New Roman" w:hAnsi="Times New Roman" w:cs="Times New Roman"/>
          <w:sz w:val="20"/>
          <w:szCs w:val="20"/>
        </w:rPr>
        <w:t>rt-</w:t>
      </w:r>
      <w:r w:rsidR="00170E47" w:rsidRPr="00E367A2">
        <w:rPr>
          <w:rFonts w:ascii="Times New Roman" w:hAnsi="Times New Roman" w:cs="Times New Roman"/>
          <w:sz w:val="20"/>
          <w:szCs w:val="20"/>
        </w:rPr>
        <w:t xml:space="preserve">term financial security. </w:t>
      </w:r>
      <w:r w:rsidRPr="00E367A2">
        <w:rPr>
          <w:rFonts w:ascii="Times New Roman" w:hAnsi="Times New Roman" w:cs="Times New Roman"/>
          <w:bCs/>
          <w:sz w:val="20"/>
          <w:szCs w:val="20"/>
        </w:rPr>
        <w:t>Retirement Savings</w:t>
      </w:r>
      <w:r w:rsidRPr="00E367A2">
        <w:rPr>
          <w:rFonts w:ascii="Times New Roman" w:hAnsi="Times New Roman" w:cs="Times New Roman"/>
          <w:sz w:val="20"/>
          <w:szCs w:val="20"/>
        </w:rPr>
        <w:t xml:space="preserve"> (32) showed moderate aware</w:t>
      </w:r>
      <w:r w:rsidR="00170E47" w:rsidRPr="00E367A2">
        <w:rPr>
          <w:rFonts w:ascii="Times New Roman" w:hAnsi="Times New Roman" w:cs="Times New Roman"/>
          <w:sz w:val="20"/>
          <w:szCs w:val="20"/>
        </w:rPr>
        <w:t>ness toward long-term planning.</w:t>
      </w:r>
      <w:r w:rsidR="00170E47" w:rsidRPr="00E367A2">
        <w:rPr>
          <w:rFonts w:ascii="Times New Roman" w:hAnsi="Times New Roman" w:cs="Times New Roman"/>
          <w:bCs/>
          <w:sz w:val="20"/>
          <w:szCs w:val="20"/>
        </w:rPr>
        <w:t xml:space="preserve"> Wealth</w:t>
      </w:r>
      <w:r w:rsidRPr="00E367A2">
        <w:rPr>
          <w:rFonts w:ascii="Times New Roman" w:hAnsi="Times New Roman" w:cs="Times New Roman"/>
          <w:bCs/>
          <w:sz w:val="20"/>
          <w:szCs w:val="20"/>
        </w:rPr>
        <w:t xml:space="preserve"> Creation</w:t>
      </w:r>
      <w:r w:rsidRPr="00E367A2">
        <w:rPr>
          <w:rFonts w:ascii="Times New Roman" w:hAnsi="Times New Roman" w:cs="Times New Roman"/>
          <w:sz w:val="20"/>
          <w:szCs w:val="20"/>
        </w:rPr>
        <w:t xml:space="preserve"> (10) received the least attention, reflecting </w:t>
      </w:r>
      <w:r w:rsidR="00170E47" w:rsidRPr="00E367A2">
        <w:rPr>
          <w:rFonts w:ascii="Times New Roman" w:hAnsi="Times New Roman" w:cs="Times New Roman"/>
          <w:sz w:val="20"/>
          <w:szCs w:val="20"/>
        </w:rPr>
        <w:t xml:space="preserve">a </w:t>
      </w:r>
      <w:r w:rsidRPr="00E367A2">
        <w:rPr>
          <w:rFonts w:ascii="Times New Roman" w:hAnsi="Times New Roman" w:cs="Times New Roman"/>
          <w:sz w:val="20"/>
          <w:szCs w:val="20"/>
        </w:rPr>
        <w:t>lower priority for investment-driven goals.</w:t>
      </w:r>
    </w:p>
    <w:p w14:paraId="497DEB4F"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708" w:footer="708" w:gutter="0"/>
          <w:cols w:num="2" w:space="708"/>
          <w:docGrid w:linePitch="360"/>
        </w:sectPr>
      </w:pPr>
    </w:p>
    <w:p w14:paraId="426A82BF"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Section E: Attitude Towards Finance</w:t>
      </w:r>
    </w:p>
    <w:p w14:paraId="31A8B30E" w14:textId="06798872" w:rsidR="0055072E" w:rsidRPr="00E367A2" w:rsidRDefault="0055072E"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15.Imposrtance of Financial  Planning:</w:t>
      </w:r>
    </w:p>
    <w:tbl>
      <w:tblPr>
        <w:tblStyle w:val="TableGrid"/>
        <w:tblW w:w="0" w:type="auto"/>
        <w:jc w:val="center"/>
        <w:tblLayout w:type="fixed"/>
        <w:tblLook w:val="0000" w:firstRow="0" w:lastRow="0" w:firstColumn="0" w:lastColumn="0" w:noHBand="0" w:noVBand="0"/>
      </w:tblPr>
      <w:tblGrid>
        <w:gridCol w:w="833"/>
        <w:gridCol w:w="1904"/>
        <w:gridCol w:w="1207"/>
        <w:gridCol w:w="1156"/>
        <w:gridCol w:w="1462"/>
        <w:gridCol w:w="1666"/>
      </w:tblGrid>
      <w:tr w:rsidR="00E367A2" w:rsidRPr="00E367A2" w14:paraId="65019D66" w14:textId="77777777" w:rsidTr="00E367A2">
        <w:trPr>
          <w:jc w:val="center"/>
        </w:trPr>
        <w:tc>
          <w:tcPr>
            <w:tcW w:w="8228" w:type="dxa"/>
            <w:gridSpan w:val="6"/>
          </w:tcPr>
          <w:p w14:paraId="0B26A7D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Financial Planning</w:t>
            </w:r>
          </w:p>
        </w:tc>
      </w:tr>
      <w:tr w:rsidR="00E367A2" w:rsidRPr="00E367A2" w14:paraId="0B1D1ADB" w14:textId="77777777" w:rsidTr="00E367A2">
        <w:trPr>
          <w:jc w:val="center"/>
        </w:trPr>
        <w:tc>
          <w:tcPr>
            <w:tcW w:w="2737" w:type="dxa"/>
            <w:gridSpan w:val="2"/>
          </w:tcPr>
          <w:p w14:paraId="0A003809"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45726CE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51C916F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2A82BFE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7509916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1E982E47" w14:textId="77777777" w:rsidTr="00E367A2">
        <w:trPr>
          <w:jc w:val="center"/>
        </w:trPr>
        <w:tc>
          <w:tcPr>
            <w:tcW w:w="833" w:type="dxa"/>
            <w:vMerge w:val="restart"/>
          </w:tcPr>
          <w:p w14:paraId="769BFAA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904" w:type="dxa"/>
          </w:tcPr>
          <w:p w14:paraId="58EADFB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Disagree</w:t>
            </w:r>
          </w:p>
        </w:tc>
        <w:tc>
          <w:tcPr>
            <w:tcW w:w="1207" w:type="dxa"/>
          </w:tcPr>
          <w:p w14:paraId="459602D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16</w:t>
            </w:r>
          </w:p>
        </w:tc>
        <w:tc>
          <w:tcPr>
            <w:tcW w:w="1156" w:type="dxa"/>
          </w:tcPr>
          <w:p w14:paraId="26F7E04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462" w:type="dxa"/>
          </w:tcPr>
          <w:p w14:paraId="0E62D18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c>
          <w:tcPr>
            <w:tcW w:w="1666" w:type="dxa"/>
          </w:tcPr>
          <w:p w14:paraId="000D704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11.6</w:t>
            </w:r>
          </w:p>
        </w:tc>
      </w:tr>
      <w:tr w:rsidR="00E367A2" w:rsidRPr="00E367A2" w14:paraId="1C9B70BC" w14:textId="77777777" w:rsidTr="00E367A2">
        <w:trPr>
          <w:jc w:val="center"/>
        </w:trPr>
        <w:tc>
          <w:tcPr>
            <w:tcW w:w="833" w:type="dxa"/>
            <w:vMerge/>
          </w:tcPr>
          <w:p w14:paraId="4F342A44"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1F465D5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Disagree</w:t>
            </w:r>
          </w:p>
        </w:tc>
        <w:tc>
          <w:tcPr>
            <w:tcW w:w="1207" w:type="dxa"/>
          </w:tcPr>
          <w:p w14:paraId="6977253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28</w:t>
            </w:r>
          </w:p>
        </w:tc>
        <w:tc>
          <w:tcPr>
            <w:tcW w:w="1156" w:type="dxa"/>
          </w:tcPr>
          <w:p w14:paraId="1ADAEC8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20.3</w:t>
            </w:r>
          </w:p>
        </w:tc>
        <w:tc>
          <w:tcPr>
            <w:tcW w:w="1462" w:type="dxa"/>
          </w:tcPr>
          <w:p w14:paraId="5BB07FB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20.3</w:t>
            </w:r>
          </w:p>
        </w:tc>
        <w:tc>
          <w:tcPr>
            <w:tcW w:w="1666" w:type="dxa"/>
          </w:tcPr>
          <w:p w14:paraId="1D212BD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r>
      <w:tr w:rsidR="00E367A2" w:rsidRPr="00E367A2" w14:paraId="31D67C29" w14:textId="77777777" w:rsidTr="00E367A2">
        <w:trPr>
          <w:jc w:val="center"/>
        </w:trPr>
        <w:tc>
          <w:tcPr>
            <w:tcW w:w="833" w:type="dxa"/>
            <w:vMerge/>
          </w:tcPr>
          <w:p w14:paraId="1240946C"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528AA89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Neutral</w:t>
            </w:r>
          </w:p>
        </w:tc>
        <w:tc>
          <w:tcPr>
            <w:tcW w:w="1207" w:type="dxa"/>
          </w:tcPr>
          <w:p w14:paraId="2C72428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44</w:t>
            </w:r>
          </w:p>
        </w:tc>
        <w:tc>
          <w:tcPr>
            <w:tcW w:w="1156" w:type="dxa"/>
          </w:tcPr>
          <w:p w14:paraId="3670270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462" w:type="dxa"/>
          </w:tcPr>
          <w:p w14:paraId="0796823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666" w:type="dxa"/>
          </w:tcPr>
          <w:p w14:paraId="340EAB8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63.8</w:t>
            </w:r>
          </w:p>
        </w:tc>
      </w:tr>
      <w:tr w:rsidR="00E367A2" w:rsidRPr="00E367A2" w14:paraId="0A75E580" w14:textId="77777777" w:rsidTr="00E367A2">
        <w:trPr>
          <w:jc w:val="center"/>
        </w:trPr>
        <w:tc>
          <w:tcPr>
            <w:tcW w:w="833" w:type="dxa"/>
            <w:vMerge/>
          </w:tcPr>
          <w:p w14:paraId="0C65F3E2"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3E49E76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Agree</w:t>
            </w:r>
          </w:p>
        </w:tc>
        <w:tc>
          <w:tcPr>
            <w:tcW w:w="1207" w:type="dxa"/>
          </w:tcPr>
          <w:p w14:paraId="343F9DD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w:t>
            </w:r>
          </w:p>
        </w:tc>
        <w:tc>
          <w:tcPr>
            <w:tcW w:w="1156" w:type="dxa"/>
          </w:tcPr>
          <w:p w14:paraId="0796C36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462" w:type="dxa"/>
          </w:tcPr>
          <w:p w14:paraId="3DD41EA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c>
          <w:tcPr>
            <w:tcW w:w="1666" w:type="dxa"/>
          </w:tcPr>
          <w:p w14:paraId="0DA83E9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68.1</w:t>
            </w:r>
          </w:p>
        </w:tc>
      </w:tr>
      <w:tr w:rsidR="00E367A2" w:rsidRPr="00E367A2" w14:paraId="0B9AF6ED" w14:textId="77777777" w:rsidTr="00E367A2">
        <w:trPr>
          <w:jc w:val="center"/>
        </w:trPr>
        <w:tc>
          <w:tcPr>
            <w:tcW w:w="833" w:type="dxa"/>
            <w:vMerge/>
          </w:tcPr>
          <w:p w14:paraId="67F20D47"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4BF45C5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Agree</w:t>
            </w:r>
          </w:p>
        </w:tc>
        <w:tc>
          <w:tcPr>
            <w:tcW w:w="1207" w:type="dxa"/>
          </w:tcPr>
          <w:p w14:paraId="7886957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44</w:t>
            </w:r>
          </w:p>
        </w:tc>
        <w:tc>
          <w:tcPr>
            <w:tcW w:w="1156" w:type="dxa"/>
          </w:tcPr>
          <w:p w14:paraId="5E211B1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462" w:type="dxa"/>
          </w:tcPr>
          <w:p w14:paraId="371872C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31.9</w:t>
            </w:r>
          </w:p>
        </w:tc>
        <w:tc>
          <w:tcPr>
            <w:tcW w:w="1666" w:type="dxa"/>
          </w:tcPr>
          <w:p w14:paraId="3FF7419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4E10BF5E" w14:textId="77777777" w:rsidTr="00E367A2">
        <w:trPr>
          <w:jc w:val="center"/>
        </w:trPr>
        <w:tc>
          <w:tcPr>
            <w:tcW w:w="833" w:type="dxa"/>
            <w:vMerge/>
          </w:tcPr>
          <w:p w14:paraId="52FF8BC2"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30A16B0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3B93549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1E21F4E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17BD5B6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5667255A" w14:textId="77777777" w:rsidR="00FA7076" w:rsidRPr="00E367A2" w:rsidRDefault="00FA7076" w:rsidP="00E367A2">
            <w:pPr>
              <w:contextualSpacing/>
              <w:jc w:val="both"/>
              <w:rPr>
                <w:rFonts w:ascii="Times New Roman" w:hAnsi="Times New Roman" w:cs="Times New Roman"/>
                <w:sz w:val="20"/>
                <w:szCs w:val="20"/>
              </w:rPr>
            </w:pPr>
          </w:p>
        </w:tc>
      </w:tr>
    </w:tbl>
    <w:p w14:paraId="738A5289"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1B98454B" wp14:editId="237806F3">
            <wp:extent cx="3604260" cy="2049780"/>
            <wp:effectExtent l="0" t="0" r="15240" b="7620"/>
            <wp:docPr id="1695356852" name="Chart 1">
              <a:extLst xmlns:a="http://schemas.openxmlformats.org/drawingml/2006/main">
                <a:ext uri="{FF2B5EF4-FFF2-40B4-BE49-F238E27FC236}">
                  <a16:creationId xmlns:a16="http://schemas.microsoft.com/office/drawing/2014/main" id="{526D3AC6-6597-3A99-84BE-9735D788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B6E2BB"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29066D">
          <w:type w:val="continuous"/>
          <w:pgSz w:w="11906" w:h="16838" w:code="9"/>
          <w:pgMar w:top="1440" w:right="1440" w:bottom="1440" w:left="1440" w:header="708" w:footer="708" w:gutter="0"/>
          <w:cols w:space="708"/>
          <w:docGrid w:linePitch="360"/>
        </w:sectPr>
      </w:pPr>
    </w:p>
    <w:p w14:paraId="1C8D465C"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72D1032C" w14:textId="7D8F2059"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Out of 138 respondents, </w:t>
      </w:r>
      <w:r w:rsidRPr="00E367A2">
        <w:rPr>
          <w:rFonts w:ascii="Times New Roman" w:hAnsi="Times New Roman" w:cs="Times New Roman"/>
          <w:bCs/>
          <w:sz w:val="20"/>
          <w:szCs w:val="20"/>
        </w:rPr>
        <w:t>Neutral</w:t>
      </w:r>
      <w:r w:rsidRPr="00E367A2">
        <w:rPr>
          <w:rFonts w:ascii="Times New Roman" w:hAnsi="Times New Roman" w:cs="Times New Roman"/>
          <w:sz w:val="20"/>
          <w:szCs w:val="20"/>
        </w:rPr>
        <w:t xml:space="preserve"> and </w:t>
      </w:r>
      <w:r w:rsidRPr="00E367A2">
        <w:rPr>
          <w:rFonts w:ascii="Times New Roman" w:hAnsi="Times New Roman" w:cs="Times New Roman"/>
          <w:bCs/>
          <w:sz w:val="20"/>
          <w:szCs w:val="20"/>
        </w:rPr>
        <w:t>Strongly Agree</w:t>
      </w:r>
      <w:r w:rsidRPr="00E367A2">
        <w:rPr>
          <w:rFonts w:ascii="Times New Roman" w:hAnsi="Times New Roman" w:cs="Times New Roman"/>
          <w:sz w:val="20"/>
          <w:szCs w:val="20"/>
        </w:rPr>
        <w:t xml:space="preserve"> received the highest responses (44 each), showing a split between </w:t>
      </w:r>
      <w:r w:rsidR="00170E47" w:rsidRPr="00E367A2">
        <w:rPr>
          <w:rFonts w:ascii="Times New Roman" w:hAnsi="Times New Roman" w:cs="Times New Roman"/>
          <w:sz w:val="20"/>
          <w:szCs w:val="20"/>
        </w:rPr>
        <w:t xml:space="preserve">uncertainty and strong support. </w:t>
      </w:r>
      <w:r w:rsidRPr="00E367A2">
        <w:rPr>
          <w:rFonts w:ascii="Times New Roman" w:hAnsi="Times New Roman" w:cs="Times New Roman"/>
          <w:bCs/>
          <w:sz w:val="20"/>
          <w:szCs w:val="20"/>
        </w:rPr>
        <w:t>Disagree</w:t>
      </w:r>
      <w:r w:rsidRPr="00E367A2">
        <w:rPr>
          <w:rFonts w:ascii="Times New Roman" w:hAnsi="Times New Roman" w:cs="Times New Roman"/>
          <w:sz w:val="20"/>
          <w:szCs w:val="20"/>
        </w:rPr>
        <w:t xml:space="preserve"> (28) and </w:t>
      </w:r>
      <w:r w:rsidRPr="00E367A2">
        <w:rPr>
          <w:rFonts w:ascii="Times New Roman" w:hAnsi="Times New Roman" w:cs="Times New Roman"/>
          <w:bCs/>
          <w:sz w:val="20"/>
          <w:szCs w:val="20"/>
        </w:rPr>
        <w:t>Strongly Disagree</w:t>
      </w:r>
      <w:r w:rsidRPr="00E367A2">
        <w:rPr>
          <w:rFonts w:ascii="Times New Roman" w:hAnsi="Times New Roman" w:cs="Times New Roman"/>
          <w:sz w:val="20"/>
          <w:szCs w:val="20"/>
        </w:rPr>
        <w:t xml:space="preserve"> (16) indicate a </w:t>
      </w:r>
      <w:r w:rsidRPr="00E367A2">
        <w:rPr>
          <w:rFonts w:ascii="Times New Roman" w:hAnsi="Times New Roman" w:cs="Times New Roman"/>
          <w:sz w:val="20"/>
          <w:szCs w:val="20"/>
        </w:rPr>
        <w:t>notable portion of the respondents do not sup</w:t>
      </w:r>
      <w:r w:rsidR="00170E47" w:rsidRPr="00E367A2">
        <w:rPr>
          <w:rFonts w:ascii="Times New Roman" w:hAnsi="Times New Roman" w:cs="Times New Roman"/>
          <w:sz w:val="20"/>
          <w:szCs w:val="20"/>
        </w:rPr>
        <w:t>port the statement.</w:t>
      </w:r>
      <w:r w:rsidR="00170E47" w:rsidRPr="00E367A2">
        <w:rPr>
          <w:rFonts w:ascii="Times New Roman" w:hAnsi="Times New Roman" w:cs="Times New Roman"/>
          <w:bCs/>
          <w:sz w:val="20"/>
          <w:szCs w:val="20"/>
        </w:rPr>
        <w:t xml:space="preserve"> The agreement</w:t>
      </w:r>
      <w:r w:rsidRPr="00E367A2">
        <w:rPr>
          <w:rFonts w:ascii="Times New Roman" w:hAnsi="Times New Roman" w:cs="Times New Roman"/>
          <w:sz w:val="20"/>
          <w:szCs w:val="20"/>
        </w:rPr>
        <w:t xml:space="preserve"> received only 6 responses, suggesting minimal </w:t>
      </w:r>
      <w:r w:rsidR="00170E47" w:rsidRPr="00E367A2">
        <w:rPr>
          <w:rFonts w:ascii="Times New Roman" w:hAnsi="Times New Roman" w:cs="Times New Roman"/>
          <w:sz w:val="20"/>
          <w:szCs w:val="20"/>
        </w:rPr>
        <w:t>agreement. Overall</w:t>
      </w:r>
      <w:r w:rsidRPr="00E367A2">
        <w:rPr>
          <w:rFonts w:ascii="Times New Roman" w:hAnsi="Times New Roman" w:cs="Times New Roman"/>
          <w:sz w:val="20"/>
          <w:szCs w:val="20"/>
        </w:rPr>
        <w:t xml:space="preserve">, opinions are </w:t>
      </w:r>
      <w:r w:rsidR="00170E47" w:rsidRPr="00E367A2">
        <w:rPr>
          <w:rFonts w:ascii="Times New Roman" w:hAnsi="Times New Roman" w:cs="Times New Roman"/>
          <w:sz w:val="20"/>
          <w:szCs w:val="20"/>
        </w:rPr>
        <w:t>polarised</w:t>
      </w:r>
      <w:r w:rsidRPr="00E367A2">
        <w:rPr>
          <w:rFonts w:ascii="Times New Roman" w:hAnsi="Times New Roman" w:cs="Times New Roman"/>
          <w:sz w:val="20"/>
          <w:szCs w:val="20"/>
        </w:rPr>
        <w:t xml:space="preserve">, with most respondents either undecided or firmly in </w:t>
      </w:r>
      <w:r w:rsidR="00170E47" w:rsidRPr="00E367A2">
        <w:rPr>
          <w:rFonts w:ascii="Times New Roman" w:hAnsi="Times New Roman" w:cs="Times New Roman"/>
          <w:sz w:val="20"/>
          <w:szCs w:val="20"/>
        </w:rPr>
        <w:t>favour</w:t>
      </w:r>
      <w:r w:rsidRPr="00E367A2">
        <w:rPr>
          <w:rFonts w:ascii="Times New Roman" w:hAnsi="Times New Roman" w:cs="Times New Roman"/>
          <w:sz w:val="20"/>
          <w:szCs w:val="20"/>
        </w:rPr>
        <w:t>.</w:t>
      </w:r>
    </w:p>
    <w:p w14:paraId="2E24DF06" w14:textId="77777777" w:rsidR="00A61429" w:rsidRDefault="00A61429" w:rsidP="0029066D">
      <w:pPr>
        <w:spacing w:before="120" w:after="0" w:line="276" w:lineRule="auto"/>
        <w:jc w:val="both"/>
        <w:rPr>
          <w:rFonts w:ascii="Times New Roman" w:hAnsi="Times New Roman" w:cs="Times New Roman"/>
          <w:b/>
          <w:bCs/>
          <w:sz w:val="20"/>
          <w:szCs w:val="20"/>
        </w:rPr>
        <w:sectPr w:rsidR="00A61429" w:rsidSect="00A61429">
          <w:type w:val="continuous"/>
          <w:pgSz w:w="11906" w:h="16838" w:code="9"/>
          <w:pgMar w:top="1440" w:right="1440" w:bottom="1440" w:left="1440" w:header="576" w:footer="708" w:gutter="0"/>
          <w:cols w:num="2" w:space="708"/>
          <w:docGrid w:linePitch="360"/>
        </w:sectPr>
      </w:pPr>
    </w:p>
    <w:p w14:paraId="262E5BE4" w14:textId="06FB4A1F" w:rsidR="0055072E" w:rsidRPr="00E367A2" w:rsidRDefault="0055072E"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16.</w:t>
      </w:r>
      <w:r w:rsidRPr="00E367A2">
        <w:rPr>
          <w:rFonts w:ascii="Times New Roman" w:hAnsi="Times New Roman" w:cs="Times New Roman"/>
          <w:b/>
          <w:bCs/>
          <w:sz w:val="20"/>
          <w:szCs w:val="20"/>
          <w:shd w:val="clear" w:color="auto" w:fill="F8F9FA"/>
        </w:rPr>
        <w:t xml:space="preserve"> </w:t>
      </w:r>
      <w:r w:rsidRPr="00E367A2">
        <w:rPr>
          <w:rFonts w:ascii="Times New Roman" w:hAnsi="Times New Roman" w:cs="Times New Roman"/>
          <w:b/>
          <w:bCs/>
          <w:sz w:val="20"/>
          <w:szCs w:val="20"/>
        </w:rPr>
        <w:t>Investing should start from a young age.:</w:t>
      </w:r>
    </w:p>
    <w:tbl>
      <w:tblPr>
        <w:tblStyle w:val="TableGrid"/>
        <w:tblW w:w="0" w:type="auto"/>
        <w:jc w:val="center"/>
        <w:tblLayout w:type="fixed"/>
        <w:tblLook w:val="0000" w:firstRow="0" w:lastRow="0" w:firstColumn="0" w:lastColumn="0" w:noHBand="0" w:noVBand="0"/>
      </w:tblPr>
      <w:tblGrid>
        <w:gridCol w:w="833"/>
        <w:gridCol w:w="1904"/>
        <w:gridCol w:w="1207"/>
        <w:gridCol w:w="1156"/>
        <w:gridCol w:w="1462"/>
        <w:gridCol w:w="1666"/>
      </w:tblGrid>
      <w:tr w:rsidR="00E367A2" w:rsidRPr="00E367A2" w14:paraId="0A00CE30" w14:textId="77777777" w:rsidTr="00E367A2">
        <w:trPr>
          <w:jc w:val="center"/>
        </w:trPr>
        <w:tc>
          <w:tcPr>
            <w:tcW w:w="8228" w:type="dxa"/>
            <w:gridSpan w:val="6"/>
          </w:tcPr>
          <w:p w14:paraId="5773A153" w14:textId="5C9C91B8"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 xml:space="preserve">Starting of Investment from </w:t>
            </w:r>
            <w:r w:rsidR="00170E47" w:rsidRPr="00E367A2">
              <w:rPr>
                <w:rFonts w:ascii="Times New Roman" w:eastAsia="Arial" w:hAnsi="Times New Roman" w:cs="Times New Roman"/>
                <w:b/>
                <w:sz w:val="20"/>
                <w:szCs w:val="20"/>
              </w:rPr>
              <w:t xml:space="preserve">a </w:t>
            </w:r>
            <w:r w:rsidRPr="00E367A2">
              <w:rPr>
                <w:rFonts w:ascii="Times New Roman" w:eastAsia="Arial" w:hAnsi="Times New Roman" w:cs="Times New Roman"/>
                <w:b/>
                <w:sz w:val="20"/>
                <w:szCs w:val="20"/>
              </w:rPr>
              <w:t>Young age</w:t>
            </w:r>
          </w:p>
        </w:tc>
      </w:tr>
      <w:tr w:rsidR="00E367A2" w:rsidRPr="00E367A2" w14:paraId="3952E5E1" w14:textId="77777777" w:rsidTr="00E367A2">
        <w:trPr>
          <w:jc w:val="center"/>
        </w:trPr>
        <w:tc>
          <w:tcPr>
            <w:tcW w:w="2737" w:type="dxa"/>
            <w:gridSpan w:val="2"/>
          </w:tcPr>
          <w:p w14:paraId="5BF2C387"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0B4405D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4B9FA20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4617B97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1733CD2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05429933" w14:textId="77777777" w:rsidTr="00E367A2">
        <w:trPr>
          <w:jc w:val="center"/>
        </w:trPr>
        <w:tc>
          <w:tcPr>
            <w:tcW w:w="833" w:type="dxa"/>
            <w:vMerge w:val="restart"/>
          </w:tcPr>
          <w:p w14:paraId="3C49BAD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904" w:type="dxa"/>
          </w:tcPr>
          <w:p w14:paraId="739266C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Disagree</w:t>
            </w:r>
          </w:p>
        </w:tc>
        <w:tc>
          <w:tcPr>
            <w:tcW w:w="1207" w:type="dxa"/>
          </w:tcPr>
          <w:p w14:paraId="527CFC5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156" w:type="dxa"/>
          </w:tcPr>
          <w:p w14:paraId="1FE963C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462" w:type="dxa"/>
          </w:tcPr>
          <w:p w14:paraId="57A4CE4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666" w:type="dxa"/>
          </w:tcPr>
          <w:p w14:paraId="6889B07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r>
      <w:tr w:rsidR="00E367A2" w:rsidRPr="00E367A2" w14:paraId="4E90F9A3" w14:textId="77777777" w:rsidTr="00E367A2">
        <w:trPr>
          <w:jc w:val="center"/>
        </w:trPr>
        <w:tc>
          <w:tcPr>
            <w:tcW w:w="833" w:type="dxa"/>
            <w:vMerge/>
          </w:tcPr>
          <w:p w14:paraId="66FBEB34"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697B142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Disagree</w:t>
            </w:r>
          </w:p>
        </w:tc>
        <w:tc>
          <w:tcPr>
            <w:tcW w:w="1207" w:type="dxa"/>
          </w:tcPr>
          <w:p w14:paraId="31C0724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w:t>
            </w:r>
          </w:p>
        </w:tc>
        <w:tc>
          <w:tcPr>
            <w:tcW w:w="1156" w:type="dxa"/>
          </w:tcPr>
          <w:p w14:paraId="3EED1FC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462" w:type="dxa"/>
          </w:tcPr>
          <w:p w14:paraId="29E802A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w:t>
            </w:r>
          </w:p>
        </w:tc>
        <w:tc>
          <w:tcPr>
            <w:tcW w:w="1666" w:type="dxa"/>
          </w:tcPr>
          <w:p w14:paraId="44BAD52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w:t>
            </w:r>
          </w:p>
        </w:tc>
      </w:tr>
      <w:tr w:rsidR="00E367A2" w:rsidRPr="00E367A2" w14:paraId="19B6DC08" w14:textId="77777777" w:rsidTr="00E367A2">
        <w:trPr>
          <w:jc w:val="center"/>
        </w:trPr>
        <w:tc>
          <w:tcPr>
            <w:tcW w:w="833" w:type="dxa"/>
            <w:vMerge/>
          </w:tcPr>
          <w:p w14:paraId="2AC5B756"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7E171EE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Neutral</w:t>
            </w:r>
          </w:p>
        </w:tc>
        <w:tc>
          <w:tcPr>
            <w:tcW w:w="1207" w:type="dxa"/>
          </w:tcPr>
          <w:p w14:paraId="58097AC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20</w:t>
            </w:r>
          </w:p>
        </w:tc>
        <w:tc>
          <w:tcPr>
            <w:tcW w:w="1156" w:type="dxa"/>
          </w:tcPr>
          <w:p w14:paraId="7EB71B3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14.5</w:t>
            </w:r>
          </w:p>
        </w:tc>
        <w:tc>
          <w:tcPr>
            <w:tcW w:w="1462" w:type="dxa"/>
          </w:tcPr>
          <w:p w14:paraId="519D379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14.5</w:t>
            </w:r>
          </w:p>
        </w:tc>
        <w:tc>
          <w:tcPr>
            <w:tcW w:w="1666" w:type="dxa"/>
          </w:tcPr>
          <w:p w14:paraId="176BB2C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18.8</w:t>
            </w:r>
          </w:p>
        </w:tc>
      </w:tr>
      <w:tr w:rsidR="00E367A2" w:rsidRPr="00E367A2" w14:paraId="33E5D1C8" w14:textId="77777777" w:rsidTr="00E367A2">
        <w:trPr>
          <w:jc w:val="center"/>
        </w:trPr>
        <w:tc>
          <w:tcPr>
            <w:tcW w:w="833" w:type="dxa"/>
            <w:vMerge/>
          </w:tcPr>
          <w:p w14:paraId="1723E0EC"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5678722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Agree</w:t>
            </w:r>
          </w:p>
        </w:tc>
        <w:tc>
          <w:tcPr>
            <w:tcW w:w="1207" w:type="dxa"/>
          </w:tcPr>
          <w:p w14:paraId="65C1549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40</w:t>
            </w:r>
          </w:p>
        </w:tc>
        <w:tc>
          <w:tcPr>
            <w:tcW w:w="1156" w:type="dxa"/>
          </w:tcPr>
          <w:p w14:paraId="44D7AED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29.0</w:t>
            </w:r>
          </w:p>
        </w:tc>
        <w:tc>
          <w:tcPr>
            <w:tcW w:w="1462" w:type="dxa"/>
          </w:tcPr>
          <w:p w14:paraId="215BB44B"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29.0</w:t>
            </w:r>
          </w:p>
        </w:tc>
        <w:tc>
          <w:tcPr>
            <w:tcW w:w="1666" w:type="dxa"/>
          </w:tcPr>
          <w:p w14:paraId="5620659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47.8</w:t>
            </w:r>
          </w:p>
        </w:tc>
      </w:tr>
      <w:tr w:rsidR="00E367A2" w:rsidRPr="00E367A2" w14:paraId="24D31D5C" w14:textId="77777777" w:rsidTr="00E367A2">
        <w:trPr>
          <w:jc w:val="center"/>
        </w:trPr>
        <w:tc>
          <w:tcPr>
            <w:tcW w:w="833" w:type="dxa"/>
            <w:vMerge/>
          </w:tcPr>
          <w:p w14:paraId="12ADB888"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2D8CE8D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Agree</w:t>
            </w:r>
          </w:p>
        </w:tc>
        <w:tc>
          <w:tcPr>
            <w:tcW w:w="1207" w:type="dxa"/>
          </w:tcPr>
          <w:p w14:paraId="11CD32C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72</w:t>
            </w:r>
          </w:p>
        </w:tc>
        <w:tc>
          <w:tcPr>
            <w:tcW w:w="1156" w:type="dxa"/>
          </w:tcPr>
          <w:p w14:paraId="08210E3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52.2</w:t>
            </w:r>
          </w:p>
        </w:tc>
        <w:tc>
          <w:tcPr>
            <w:tcW w:w="1462" w:type="dxa"/>
          </w:tcPr>
          <w:p w14:paraId="772B811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52.2</w:t>
            </w:r>
          </w:p>
        </w:tc>
        <w:tc>
          <w:tcPr>
            <w:tcW w:w="1666" w:type="dxa"/>
          </w:tcPr>
          <w:p w14:paraId="5B033347"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02E27553" w14:textId="77777777" w:rsidTr="00E367A2">
        <w:trPr>
          <w:jc w:val="center"/>
        </w:trPr>
        <w:tc>
          <w:tcPr>
            <w:tcW w:w="833" w:type="dxa"/>
            <w:vMerge/>
          </w:tcPr>
          <w:p w14:paraId="521A21D8"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4F9149F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13D045A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380DE4B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080C761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611BCF09" w14:textId="77777777" w:rsidR="00FA7076" w:rsidRPr="00E367A2" w:rsidRDefault="00FA7076" w:rsidP="00E367A2">
            <w:pPr>
              <w:contextualSpacing/>
              <w:jc w:val="both"/>
              <w:rPr>
                <w:rFonts w:ascii="Times New Roman" w:hAnsi="Times New Roman" w:cs="Times New Roman"/>
                <w:sz w:val="20"/>
                <w:szCs w:val="20"/>
              </w:rPr>
            </w:pPr>
          </w:p>
        </w:tc>
      </w:tr>
    </w:tbl>
    <w:p w14:paraId="44BB9797" w14:textId="77777777" w:rsidR="00FA7076" w:rsidRPr="00E367A2" w:rsidRDefault="00FA7076" w:rsidP="00E367A2">
      <w:pPr>
        <w:spacing w:after="0" w:line="240" w:lineRule="auto"/>
        <w:contextualSpacing/>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1421A38B" wp14:editId="698BB767">
            <wp:extent cx="4572000" cy="2743200"/>
            <wp:effectExtent l="0" t="0" r="0" b="0"/>
            <wp:docPr id="1851591422" name="Chart 1">
              <a:extLst xmlns:a="http://schemas.openxmlformats.org/drawingml/2006/main">
                <a:ext uri="{FF2B5EF4-FFF2-40B4-BE49-F238E27FC236}">
                  <a16:creationId xmlns:a16="http://schemas.microsoft.com/office/drawing/2014/main" id="{6D6784F2-CBA3-1CA6-9A86-5E3AC5A05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F9B96D" w14:textId="77777777" w:rsidR="00E367A2" w:rsidRDefault="00E367A2" w:rsidP="0029066D">
      <w:pPr>
        <w:spacing w:before="120" w:after="0" w:line="276" w:lineRule="auto"/>
        <w:jc w:val="both"/>
        <w:rPr>
          <w:rFonts w:ascii="Times New Roman" w:hAnsi="Times New Roman" w:cs="Times New Roman"/>
          <w:b/>
          <w:bCs/>
          <w:sz w:val="20"/>
          <w:szCs w:val="20"/>
        </w:rPr>
        <w:sectPr w:rsidR="00E367A2" w:rsidSect="0029066D">
          <w:type w:val="continuous"/>
          <w:pgSz w:w="11906" w:h="16838" w:code="9"/>
          <w:pgMar w:top="1440" w:right="1440" w:bottom="1440" w:left="1440" w:header="708" w:footer="708" w:gutter="0"/>
          <w:cols w:space="708"/>
          <w:docGrid w:linePitch="360"/>
        </w:sectPr>
      </w:pPr>
    </w:p>
    <w:p w14:paraId="6BB35CAA"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5AF6CA4F" w14:textId="3A0429B4"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Among 138 respondents, a strong majority </w:t>
      </w:r>
      <w:r w:rsidRPr="00E367A2">
        <w:rPr>
          <w:rFonts w:ascii="Times New Roman" w:hAnsi="Times New Roman" w:cs="Times New Roman"/>
          <w:bCs/>
          <w:sz w:val="20"/>
          <w:szCs w:val="20"/>
        </w:rPr>
        <w:t>(72)</w:t>
      </w:r>
      <w:r w:rsidRPr="00E367A2">
        <w:rPr>
          <w:rFonts w:ascii="Times New Roman" w:hAnsi="Times New Roman" w:cs="Times New Roman"/>
          <w:sz w:val="20"/>
          <w:szCs w:val="20"/>
        </w:rPr>
        <w:t xml:space="preserve"> </w:t>
      </w:r>
      <w:r w:rsidRPr="00E367A2">
        <w:rPr>
          <w:rFonts w:ascii="Times New Roman" w:hAnsi="Times New Roman" w:cs="Times New Roman"/>
          <w:bCs/>
          <w:sz w:val="20"/>
          <w:szCs w:val="20"/>
        </w:rPr>
        <w:t>Strongly Agree</w:t>
      </w:r>
      <w:r w:rsidRPr="00E367A2">
        <w:rPr>
          <w:rFonts w:ascii="Times New Roman" w:hAnsi="Times New Roman" w:cs="Times New Roman"/>
          <w:sz w:val="20"/>
          <w:szCs w:val="20"/>
        </w:rPr>
        <w:t xml:space="preserve"> and </w:t>
      </w:r>
      <w:r w:rsidRPr="00E367A2">
        <w:rPr>
          <w:rFonts w:ascii="Times New Roman" w:hAnsi="Times New Roman" w:cs="Times New Roman"/>
          <w:bCs/>
          <w:sz w:val="20"/>
          <w:szCs w:val="20"/>
        </w:rPr>
        <w:t>40</w:t>
      </w:r>
      <w:r w:rsidRPr="00E367A2">
        <w:rPr>
          <w:rFonts w:ascii="Times New Roman" w:hAnsi="Times New Roman" w:cs="Times New Roman"/>
          <w:sz w:val="20"/>
          <w:szCs w:val="20"/>
        </w:rPr>
        <w:t xml:space="preserve"> </w:t>
      </w:r>
      <w:r w:rsidRPr="00E367A2">
        <w:rPr>
          <w:rFonts w:ascii="Times New Roman" w:hAnsi="Times New Roman" w:cs="Times New Roman"/>
          <w:bCs/>
          <w:sz w:val="20"/>
          <w:szCs w:val="20"/>
        </w:rPr>
        <w:t>Agree</w:t>
      </w:r>
      <w:r w:rsidRPr="00E367A2">
        <w:rPr>
          <w:rFonts w:ascii="Times New Roman" w:hAnsi="Times New Roman" w:cs="Times New Roman"/>
          <w:sz w:val="20"/>
          <w:szCs w:val="20"/>
        </w:rPr>
        <w:t xml:space="preserve">, indicating high </w:t>
      </w:r>
      <w:r w:rsidRPr="00E367A2">
        <w:rPr>
          <w:rFonts w:ascii="Times New Roman" w:hAnsi="Times New Roman" w:cs="Times New Roman"/>
          <w:sz w:val="20"/>
          <w:szCs w:val="20"/>
        </w:rPr>
        <w:lastRenderedPageBreak/>
        <w:t>overal</w:t>
      </w:r>
      <w:r w:rsidR="00170E47" w:rsidRPr="00E367A2">
        <w:rPr>
          <w:rFonts w:ascii="Times New Roman" w:hAnsi="Times New Roman" w:cs="Times New Roman"/>
          <w:sz w:val="20"/>
          <w:szCs w:val="20"/>
        </w:rPr>
        <w:t xml:space="preserve">l agreement with the statement. </w:t>
      </w:r>
      <w:r w:rsidRPr="00E367A2">
        <w:rPr>
          <w:rFonts w:ascii="Times New Roman" w:hAnsi="Times New Roman" w:cs="Times New Roman"/>
          <w:sz w:val="20"/>
          <w:szCs w:val="20"/>
        </w:rPr>
        <w:t xml:space="preserve">Only a small fraction </w:t>
      </w:r>
      <w:r w:rsidRPr="00E367A2">
        <w:rPr>
          <w:rFonts w:ascii="Times New Roman" w:hAnsi="Times New Roman" w:cs="Times New Roman"/>
          <w:bCs/>
          <w:sz w:val="20"/>
          <w:szCs w:val="20"/>
        </w:rPr>
        <w:t>(4 Strongly Disagree, 2 Disagree)</w:t>
      </w:r>
      <w:r w:rsidRPr="00E367A2">
        <w:rPr>
          <w:rFonts w:ascii="Times New Roman" w:hAnsi="Times New Roman" w:cs="Times New Roman"/>
          <w:sz w:val="20"/>
          <w:szCs w:val="20"/>
        </w:rPr>
        <w:t xml:space="preserve"> oppose </w:t>
      </w:r>
      <w:r w:rsidR="00170E47" w:rsidRPr="00E367A2">
        <w:rPr>
          <w:rFonts w:ascii="Times New Roman" w:hAnsi="Times New Roman" w:cs="Times New Roman"/>
          <w:sz w:val="20"/>
          <w:szCs w:val="20"/>
        </w:rPr>
        <w:t xml:space="preserve">it, showing minimal resistance. </w:t>
      </w:r>
      <w:r w:rsidRPr="00E367A2">
        <w:rPr>
          <w:rFonts w:ascii="Times New Roman" w:hAnsi="Times New Roman" w:cs="Times New Roman"/>
          <w:bCs/>
          <w:sz w:val="20"/>
          <w:szCs w:val="20"/>
        </w:rPr>
        <w:t>Neutral</w:t>
      </w:r>
      <w:r w:rsidRPr="00E367A2">
        <w:rPr>
          <w:rFonts w:ascii="Times New Roman" w:hAnsi="Times New Roman" w:cs="Times New Roman"/>
          <w:sz w:val="20"/>
          <w:szCs w:val="20"/>
        </w:rPr>
        <w:t xml:space="preserve"> responses (20) </w:t>
      </w:r>
      <w:r w:rsidRPr="00E367A2">
        <w:rPr>
          <w:rFonts w:ascii="Times New Roman" w:hAnsi="Times New Roman" w:cs="Times New Roman"/>
          <w:sz w:val="20"/>
          <w:szCs w:val="20"/>
        </w:rPr>
        <w:t xml:space="preserve">suggest some </w:t>
      </w:r>
      <w:r w:rsidR="00170E47" w:rsidRPr="00E367A2">
        <w:rPr>
          <w:rFonts w:ascii="Times New Roman" w:hAnsi="Times New Roman" w:cs="Times New Roman"/>
          <w:sz w:val="20"/>
          <w:szCs w:val="20"/>
        </w:rPr>
        <w:t>uncertainty or lack of opinion. The</w:t>
      </w:r>
      <w:r w:rsidRPr="00E367A2">
        <w:rPr>
          <w:rFonts w:ascii="Times New Roman" w:hAnsi="Times New Roman" w:cs="Times New Roman"/>
          <w:sz w:val="20"/>
          <w:szCs w:val="20"/>
        </w:rPr>
        <w:t xml:space="preserve"> data </w:t>
      </w:r>
      <w:r w:rsidR="00170E47" w:rsidRPr="00E367A2">
        <w:rPr>
          <w:rFonts w:ascii="Times New Roman" w:hAnsi="Times New Roman" w:cs="Times New Roman"/>
          <w:sz w:val="20"/>
          <w:szCs w:val="20"/>
        </w:rPr>
        <w:t>reflect</w:t>
      </w:r>
      <w:r w:rsidRPr="00E367A2">
        <w:rPr>
          <w:rFonts w:ascii="Times New Roman" w:hAnsi="Times New Roman" w:cs="Times New Roman"/>
          <w:sz w:val="20"/>
          <w:szCs w:val="20"/>
        </w:rPr>
        <w:t xml:space="preserve"> a clear positive consensus among the participants.</w:t>
      </w:r>
    </w:p>
    <w:p w14:paraId="5C4B7A04" w14:textId="77777777" w:rsidR="00E367A2" w:rsidRDefault="00E367A2" w:rsidP="0029066D">
      <w:pPr>
        <w:spacing w:before="120" w:after="0" w:line="276" w:lineRule="auto"/>
        <w:jc w:val="both"/>
        <w:rPr>
          <w:rFonts w:ascii="Times New Roman" w:hAnsi="Times New Roman" w:cs="Times New Roman"/>
          <w:sz w:val="20"/>
          <w:szCs w:val="20"/>
        </w:rPr>
        <w:sectPr w:rsidR="00E367A2" w:rsidSect="00E367A2">
          <w:type w:val="continuous"/>
          <w:pgSz w:w="11906" w:h="16838" w:code="9"/>
          <w:pgMar w:top="1440" w:right="1440" w:bottom="1440" w:left="1440" w:header="708" w:footer="708" w:gutter="0"/>
          <w:cols w:num="2" w:space="708"/>
          <w:docGrid w:linePitch="360"/>
        </w:sectPr>
      </w:pPr>
    </w:p>
    <w:p w14:paraId="39EB3C8A" w14:textId="3E495E29" w:rsidR="0055072E" w:rsidRPr="00E367A2" w:rsidRDefault="0055072E"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17.</w:t>
      </w:r>
      <w:r w:rsidRPr="00E367A2">
        <w:rPr>
          <w:rFonts w:ascii="Times New Roman" w:eastAsia="Arial" w:hAnsi="Times New Roman" w:cs="Times New Roman"/>
          <w:b/>
          <w:sz w:val="20"/>
          <w:szCs w:val="20"/>
        </w:rPr>
        <w:t xml:space="preserve"> Confidence about making Financial Decisions</w:t>
      </w:r>
    </w:p>
    <w:tbl>
      <w:tblPr>
        <w:tblStyle w:val="TableGrid"/>
        <w:tblW w:w="0" w:type="auto"/>
        <w:jc w:val="center"/>
        <w:tblLayout w:type="fixed"/>
        <w:tblLook w:val="0000" w:firstRow="0" w:lastRow="0" w:firstColumn="0" w:lastColumn="0" w:noHBand="0" w:noVBand="0"/>
      </w:tblPr>
      <w:tblGrid>
        <w:gridCol w:w="833"/>
        <w:gridCol w:w="1904"/>
        <w:gridCol w:w="1207"/>
        <w:gridCol w:w="1156"/>
        <w:gridCol w:w="1462"/>
        <w:gridCol w:w="1666"/>
      </w:tblGrid>
      <w:tr w:rsidR="00E367A2" w:rsidRPr="00E367A2" w14:paraId="7686D71B" w14:textId="77777777" w:rsidTr="00E367A2">
        <w:trPr>
          <w:jc w:val="center"/>
        </w:trPr>
        <w:tc>
          <w:tcPr>
            <w:tcW w:w="8228" w:type="dxa"/>
            <w:gridSpan w:val="6"/>
          </w:tcPr>
          <w:p w14:paraId="48BC2FE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b/>
                <w:sz w:val="20"/>
                <w:szCs w:val="20"/>
              </w:rPr>
              <w:t>Confidence about making Financial Decisions</w:t>
            </w:r>
          </w:p>
        </w:tc>
      </w:tr>
      <w:tr w:rsidR="00E367A2" w:rsidRPr="00E367A2" w14:paraId="30B7E9F4" w14:textId="77777777" w:rsidTr="00E367A2">
        <w:trPr>
          <w:jc w:val="center"/>
        </w:trPr>
        <w:tc>
          <w:tcPr>
            <w:tcW w:w="2737" w:type="dxa"/>
            <w:gridSpan w:val="2"/>
          </w:tcPr>
          <w:p w14:paraId="2DF7225E" w14:textId="77777777" w:rsidR="00FA7076" w:rsidRPr="00E367A2" w:rsidRDefault="00FA7076" w:rsidP="00E367A2">
            <w:pPr>
              <w:contextualSpacing/>
              <w:jc w:val="both"/>
              <w:rPr>
                <w:rFonts w:ascii="Times New Roman" w:hAnsi="Times New Roman" w:cs="Times New Roman"/>
                <w:sz w:val="20"/>
                <w:szCs w:val="20"/>
              </w:rPr>
            </w:pPr>
          </w:p>
        </w:tc>
        <w:tc>
          <w:tcPr>
            <w:tcW w:w="1207" w:type="dxa"/>
          </w:tcPr>
          <w:p w14:paraId="7CEE37D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Frequency</w:t>
            </w:r>
          </w:p>
        </w:tc>
        <w:tc>
          <w:tcPr>
            <w:tcW w:w="1156" w:type="dxa"/>
          </w:tcPr>
          <w:p w14:paraId="59E19FE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Percent</w:t>
            </w:r>
          </w:p>
        </w:tc>
        <w:tc>
          <w:tcPr>
            <w:tcW w:w="1462" w:type="dxa"/>
          </w:tcPr>
          <w:p w14:paraId="3FBF53F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 Percent</w:t>
            </w:r>
          </w:p>
        </w:tc>
        <w:tc>
          <w:tcPr>
            <w:tcW w:w="1666" w:type="dxa"/>
          </w:tcPr>
          <w:p w14:paraId="2A05847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Cumulative Percent</w:t>
            </w:r>
          </w:p>
        </w:tc>
      </w:tr>
      <w:tr w:rsidR="00E367A2" w:rsidRPr="00E367A2" w14:paraId="4F401D23" w14:textId="77777777" w:rsidTr="00E367A2">
        <w:trPr>
          <w:jc w:val="center"/>
        </w:trPr>
        <w:tc>
          <w:tcPr>
            <w:tcW w:w="833" w:type="dxa"/>
            <w:vMerge w:val="restart"/>
          </w:tcPr>
          <w:p w14:paraId="1A9700D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Valid</w:t>
            </w:r>
          </w:p>
        </w:tc>
        <w:tc>
          <w:tcPr>
            <w:tcW w:w="1904" w:type="dxa"/>
          </w:tcPr>
          <w:p w14:paraId="2E092C9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Disagree</w:t>
            </w:r>
          </w:p>
        </w:tc>
        <w:tc>
          <w:tcPr>
            <w:tcW w:w="1207" w:type="dxa"/>
          </w:tcPr>
          <w:p w14:paraId="30FFDAC5"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156" w:type="dxa"/>
          </w:tcPr>
          <w:p w14:paraId="6278897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462" w:type="dxa"/>
          </w:tcPr>
          <w:p w14:paraId="453E6229"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666" w:type="dxa"/>
          </w:tcPr>
          <w:p w14:paraId="0548A72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r>
      <w:tr w:rsidR="00E367A2" w:rsidRPr="00E367A2" w14:paraId="2499CBD8" w14:textId="77777777" w:rsidTr="00E367A2">
        <w:trPr>
          <w:jc w:val="center"/>
        </w:trPr>
        <w:tc>
          <w:tcPr>
            <w:tcW w:w="833" w:type="dxa"/>
            <w:vMerge/>
          </w:tcPr>
          <w:p w14:paraId="69AAAF7D"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541B3E3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Disagree</w:t>
            </w:r>
          </w:p>
        </w:tc>
        <w:tc>
          <w:tcPr>
            <w:tcW w:w="1207" w:type="dxa"/>
          </w:tcPr>
          <w:p w14:paraId="342E2B0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w:t>
            </w:r>
          </w:p>
        </w:tc>
        <w:tc>
          <w:tcPr>
            <w:tcW w:w="1156" w:type="dxa"/>
          </w:tcPr>
          <w:p w14:paraId="6A359916"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462" w:type="dxa"/>
          </w:tcPr>
          <w:p w14:paraId="253ED04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2.9</w:t>
            </w:r>
          </w:p>
        </w:tc>
        <w:tc>
          <w:tcPr>
            <w:tcW w:w="1666" w:type="dxa"/>
          </w:tcPr>
          <w:p w14:paraId="75C86A10"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5.8</w:t>
            </w:r>
          </w:p>
        </w:tc>
      </w:tr>
      <w:tr w:rsidR="00E367A2" w:rsidRPr="00E367A2" w14:paraId="3B3836CD" w14:textId="77777777" w:rsidTr="00E367A2">
        <w:trPr>
          <w:jc w:val="center"/>
        </w:trPr>
        <w:tc>
          <w:tcPr>
            <w:tcW w:w="833" w:type="dxa"/>
            <w:vMerge/>
          </w:tcPr>
          <w:p w14:paraId="3B2DE3D4"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6A8A04F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Neutral</w:t>
            </w:r>
          </w:p>
        </w:tc>
        <w:tc>
          <w:tcPr>
            <w:tcW w:w="1207" w:type="dxa"/>
          </w:tcPr>
          <w:p w14:paraId="4BEE8154"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24</w:t>
            </w:r>
          </w:p>
        </w:tc>
        <w:tc>
          <w:tcPr>
            <w:tcW w:w="1156" w:type="dxa"/>
          </w:tcPr>
          <w:p w14:paraId="17E4536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462" w:type="dxa"/>
          </w:tcPr>
          <w:p w14:paraId="2D61434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17.4</w:t>
            </w:r>
          </w:p>
        </w:tc>
        <w:tc>
          <w:tcPr>
            <w:tcW w:w="1666" w:type="dxa"/>
          </w:tcPr>
          <w:p w14:paraId="075DF97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23.2</w:t>
            </w:r>
          </w:p>
        </w:tc>
      </w:tr>
      <w:tr w:rsidR="00E367A2" w:rsidRPr="00E367A2" w14:paraId="479C6707" w14:textId="77777777" w:rsidTr="00E367A2">
        <w:trPr>
          <w:jc w:val="center"/>
        </w:trPr>
        <w:tc>
          <w:tcPr>
            <w:tcW w:w="833" w:type="dxa"/>
            <w:vMerge/>
          </w:tcPr>
          <w:p w14:paraId="769B37E0"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3BBB91A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Agree</w:t>
            </w:r>
          </w:p>
        </w:tc>
        <w:tc>
          <w:tcPr>
            <w:tcW w:w="1207" w:type="dxa"/>
          </w:tcPr>
          <w:p w14:paraId="25D052B8"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60</w:t>
            </w:r>
          </w:p>
        </w:tc>
        <w:tc>
          <w:tcPr>
            <w:tcW w:w="1156" w:type="dxa"/>
          </w:tcPr>
          <w:p w14:paraId="44023183"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43.5</w:t>
            </w:r>
          </w:p>
        </w:tc>
        <w:tc>
          <w:tcPr>
            <w:tcW w:w="1462" w:type="dxa"/>
          </w:tcPr>
          <w:p w14:paraId="2332522C"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43.5</w:t>
            </w:r>
          </w:p>
        </w:tc>
        <w:tc>
          <w:tcPr>
            <w:tcW w:w="1666" w:type="dxa"/>
          </w:tcPr>
          <w:p w14:paraId="5C8724D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66.7</w:t>
            </w:r>
          </w:p>
        </w:tc>
      </w:tr>
      <w:tr w:rsidR="00E367A2" w:rsidRPr="00E367A2" w14:paraId="5B84D830" w14:textId="77777777" w:rsidTr="00E367A2">
        <w:trPr>
          <w:jc w:val="center"/>
        </w:trPr>
        <w:tc>
          <w:tcPr>
            <w:tcW w:w="833" w:type="dxa"/>
            <w:vMerge/>
          </w:tcPr>
          <w:p w14:paraId="5629501B"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09F3107A"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Strongly Agree</w:t>
            </w:r>
          </w:p>
        </w:tc>
        <w:tc>
          <w:tcPr>
            <w:tcW w:w="1207" w:type="dxa"/>
          </w:tcPr>
          <w:p w14:paraId="4CCBC4AD"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46</w:t>
            </w:r>
          </w:p>
        </w:tc>
        <w:tc>
          <w:tcPr>
            <w:tcW w:w="1156" w:type="dxa"/>
          </w:tcPr>
          <w:p w14:paraId="40450F11"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33.3</w:t>
            </w:r>
          </w:p>
        </w:tc>
        <w:tc>
          <w:tcPr>
            <w:tcW w:w="1462" w:type="dxa"/>
          </w:tcPr>
          <w:p w14:paraId="345FE06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33.3</w:t>
            </w:r>
          </w:p>
        </w:tc>
        <w:tc>
          <w:tcPr>
            <w:tcW w:w="1666" w:type="dxa"/>
          </w:tcPr>
          <w:p w14:paraId="5D31D35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r>
      <w:tr w:rsidR="00E367A2" w:rsidRPr="00E367A2" w14:paraId="01F1BEB3" w14:textId="77777777" w:rsidTr="00E367A2">
        <w:trPr>
          <w:jc w:val="center"/>
        </w:trPr>
        <w:tc>
          <w:tcPr>
            <w:tcW w:w="833" w:type="dxa"/>
            <w:vMerge/>
          </w:tcPr>
          <w:p w14:paraId="12669CC1" w14:textId="77777777" w:rsidR="00FA7076" w:rsidRPr="00E367A2" w:rsidRDefault="00FA7076" w:rsidP="00E367A2">
            <w:pPr>
              <w:contextualSpacing/>
              <w:jc w:val="both"/>
              <w:rPr>
                <w:rFonts w:ascii="Times New Roman" w:hAnsi="Times New Roman" w:cs="Times New Roman"/>
                <w:sz w:val="20"/>
                <w:szCs w:val="20"/>
              </w:rPr>
            </w:pPr>
          </w:p>
        </w:tc>
        <w:tc>
          <w:tcPr>
            <w:tcW w:w="1904" w:type="dxa"/>
          </w:tcPr>
          <w:p w14:paraId="0598607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Total</w:t>
            </w:r>
          </w:p>
        </w:tc>
        <w:tc>
          <w:tcPr>
            <w:tcW w:w="1207" w:type="dxa"/>
          </w:tcPr>
          <w:p w14:paraId="41BAAD72"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138</w:t>
            </w:r>
          </w:p>
        </w:tc>
        <w:tc>
          <w:tcPr>
            <w:tcW w:w="1156" w:type="dxa"/>
          </w:tcPr>
          <w:p w14:paraId="319CC8EE"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462" w:type="dxa"/>
          </w:tcPr>
          <w:p w14:paraId="66D5161F" w14:textId="77777777" w:rsidR="00FA7076" w:rsidRPr="00E367A2" w:rsidRDefault="00FA7076" w:rsidP="00E367A2">
            <w:pPr>
              <w:contextualSpacing/>
              <w:jc w:val="both"/>
              <w:rPr>
                <w:rFonts w:ascii="Times New Roman" w:hAnsi="Times New Roman" w:cs="Times New Roman"/>
                <w:sz w:val="20"/>
                <w:szCs w:val="20"/>
              </w:rPr>
            </w:pPr>
            <w:r w:rsidRPr="00E367A2">
              <w:rPr>
                <w:rFonts w:ascii="Times New Roman" w:eastAsia="Arial" w:hAnsi="Times New Roman" w:cs="Times New Roman"/>
                <w:sz w:val="20"/>
                <w:szCs w:val="20"/>
              </w:rPr>
              <w:t>100.0</w:t>
            </w:r>
          </w:p>
        </w:tc>
        <w:tc>
          <w:tcPr>
            <w:tcW w:w="1666" w:type="dxa"/>
          </w:tcPr>
          <w:p w14:paraId="17BE7DEE" w14:textId="77777777" w:rsidR="00FA7076" w:rsidRPr="00E367A2" w:rsidRDefault="00FA7076" w:rsidP="00E367A2">
            <w:pPr>
              <w:contextualSpacing/>
              <w:jc w:val="both"/>
              <w:rPr>
                <w:rFonts w:ascii="Times New Roman" w:hAnsi="Times New Roman" w:cs="Times New Roman"/>
                <w:sz w:val="20"/>
                <w:szCs w:val="20"/>
              </w:rPr>
            </w:pPr>
          </w:p>
        </w:tc>
      </w:tr>
    </w:tbl>
    <w:p w14:paraId="322D8516" w14:textId="77777777" w:rsidR="00FA7076" w:rsidRPr="00E367A2" w:rsidRDefault="00FA7076"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3007D531" wp14:editId="378A8C6C">
            <wp:extent cx="4572000" cy="2743200"/>
            <wp:effectExtent l="0" t="0" r="0" b="0"/>
            <wp:docPr id="1150455642" name="Chart 1">
              <a:extLst xmlns:a="http://schemas.openxmlformats.org/drawingml/2006/main">
                <a:ext uri="{FF2B5EF4-FFF2-40B4-BE49-F238E27FC236}">
                  <a16:creationId xmlns:a16="http://schemas.microsoft.com/office/drawing/2014/main" id="{FB811E9F-4B6E-90BC-40E1-44742665E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3BD640" w14:textId="77777777" w:rsidR="00E367A2" w:rsidRDefault="00E367A2" w:rsidP="0029066D">
      <w:pPr>
        <w:spacing w:before="120" w:after="0" w:line="276" w:lineRule="auto"/>
        <w:jc w:val="both"/>
        <w:rPr>
          <w:rFonts w:ascii="Times New Roman" w:hAnsi="Times New Roman" w:cs="Times New Roman"/>
          <w:b/>
          <w:bCs/>
          <w:sz w:val="20"/>
          <w:szCs w:val="20"/>
        </w:rPr>
        <w:sectPr w:rsidR="00E367A2" w:rsidSect="00A61429">
          <w:type w:val="continuous"/>
          <w:pgSz w:w="11906" w:h="16838" w:code="9"/>
          <w:pgMar w:top="1440" w:right="1440" w:bottom="1440" w:left="1440" w:header="576" w:footer="708" w:gutter="0"/>
          <w:cols w:space="708"/>
          <w:docGrid w:linePitch="360"/>
        </w:sectPr>
      </w:pPr>
    </w:p>
    <w:p w14:paraId="17576F58" w14:textId="77777777"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Interpretation-</w:t>
      </w:r>
    </w:p>
    <w:p w14:paraId="01E99DEC" w14:textId="7782ACAB" w:rsidR="00FA7076" w:rsidRPr="00E367A2" w:rsidRDefault="00FA7076"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Out of 138 respondents, </w:t>
      </w:r>
      <w:r w:rsidR="00170E47" w:rsidRPr="00E367A2">
        <w:rPr>
          <w:rFonts w:ascii="Times New Roman" w:hAnsi="Times New Roman" w:cs="Times New Roman"/>
          <w:sz w:val="20"/>
          <w:szCs w:val="20"/>
        </w:rPr>
        <w:t>Agree</w:t>
      </w:r>
      <w:r w:rsidRPr="00E367A2">
        <w:rPr>
          <w:rFonts w:ascii="Times New Roman" w:hAnsi="Times New Roman" w:cs="Times New Roman"/>
          <w:sz w:val="20"/>
          <w:szCs w:val="20"/>
        </w:rPr>
        <w:t xml:space="preserve"> (60) and Strongly Agree (46) together form a clear majority, indicating strong overall </w:t>
      </w:r>
      <w:r w:rsidR="00A86D80" w:rsidRPr="00E367A2">
        <w:rPr>
          <w:rFonts w:ascii="Times New Roman" w:hAnsi="Times New Roman" w:cs="Times New Roman"/>
          <w:sz w:val="20"/>
          <w:szCs w:val="20"/>
        </w:rPr>
        <w:t>agreement. Neutral</w:t>
      </w:r>
      <w:r w:rsidRPr="00E367A2">
        <w:rPr>
          <w:rFonts w:ascii="Times New Roman" w:hAnsi="Times New Roman" w:cs="Times New Roman"/>
          <w:sz w:val="20"/>
          <w:szCs w:val="20"/>
        </w:rPr>
        <w:t xml:space="preserve"> responses (24) suggest some participants were unsure or </w:t>
      </w:r>
      <w:r w:rsidR="00A86D80" w:rsidRPr="00E367A2">
        <w:rPr>
          <w:rFonts w:ascii="Times New Roman" w:hAnsi="Times New Roman" w:cs="Times New Roman"/>
          <w:sz w:val="20"/>
          <w:szCs w:val="20"/>
        </w:rPr>
        <w:t>indifferent. Only</w:t>
      </w:r>
      <w:r w:rsidRPr="00E367A2">
        <w:rPr>
          <w:rFonts w:ascii="Times New Roman" w:hAnsi="Times New Roman" w:cs="Times New Roman"/>
          <w:sz w:val="20"/>
          <w:szCs w:val="20"/>
        </w:rPr>
        <w:t xml:space="preserve"> a few respondents </w:t>
      </w:r>
      <w:r w:rsidR="00A86D80" w:rsidRPr="00E367A2">
        <w:rPr>
          <w:rFonts w:ascii="Times New Roman" w:hAnsi="Times New Roman" w:cs="Times New Roman"/>
          <w:sz w:val="20"/>
          <w:szCs w:val="20"/>
        </w:rPr>
        <w:t>disagreed</w:t>
      </w:r>
      <w:r w:rsidRPr="00E367A2">
        <w:rPr>
          <w:rFonts w:ascii="Times New Roman" w:hAnsi="Times New Roman" w:cs="Times New Roman"/>
          <w:sz w:val="20"/>
          <w:szCs w:val="20"/>
        </w:rPr>
        <w:t xml:space="preserve"> (4) or Strongly Disagreed (4), showing minimal </w:t>
      </w:r>
      <w:r w:rsidR="00A86D80" w:rsidRPr="00E367A2">
        <w:rPr>
          <w:rFonts w:ascii="Times New Roman" w:hAnsi="Times New Roman" w:cs="Times New Roman"/>
          <w:sz w:val="20"/>
          <w:szCs w:val="20"/>
        </w:rPr>
        <w:t>opposition. The</w:t>
      </w:r>
      <w:r w:rsidRPr="00E367A2">
        <w:rPr>
          <w:rFonts w:ascii="Times New Roman" w:hAnsi="Times New Roman" w:cs="Times New Roman"/>
          <w:sz w:val="20"/>
          <w:szCs w:val="20"/>
        </w:rPr>
        <w:t xml:space="preserve"> data </w:t>
      </w:r>
      <w:r w:rsidR="00170E47" w:rsidRPr="00E367A2">
        <w:rPr>
          <w:rFonts w:ascii="Times New Roman" w:hAnsi="Times New Roman" w:cs="Times New Roman"/>
          <w:sz w:val="20"/>
          <w:szCs w:val="20"/>
        </w:rPr>
        <w:t>reflect</w:t>
      </w:r>
      <w:r w:rsidRPr="00E367A2">
        <w:rPr>
          <w:rFonts w:ascii="Times New Roman" w:hAnsi="Times New Roman" w:cs="Times New Roman"/>
          <w:sz w:val="20"/>
          <w:szCs w:val="20"/>
        </w:rPr>
        <w:t xml:space="preserve"> a generally positive perception with limited disagreement.</w:t>
      </w:r>
    </w:p>
    <w:p w14:paraId="732AB518" w14:textId="54FDA382" w:rsidR="00B94A17" w:rsidRPr="00E367A2" w:rsidRDefault="00B94A17"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Hypothesis Testing: </w:t>
      </w:r>
    </w:p>
    <w:p w14:paraId="21768A92" w14:textId="42B4AA31" w:rsidR="00B94A17" w:rsidRPr="00E367A2" w:rsidRDefault="00B94A17"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Hypothesis 1:</w:t>
      </w:r>
    </w:p>
    <w:p w14:paraId="2969C7F8" w14:textId="77777777"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Null Hypothesis (H</w:t>
      </w:r>
      <w:r w:rsidRPr="00E367A2">
        <w:rPr>
          <w:rFonts w:ascii="Times New Roman" w:hAnsi="Times New Roman" w:cs="Times New Roman"/>
          <w:sz w:val="20"/>
          <w:szCs w:val="20"/>
          <w:vertAlign w:val="subscript"/>
        </w:rPr>
        <w:t>0</w:t>
      </w:r>
      <w:r w:rsidRPr="00E367A2">
        <w:rPr>
          <w:rStyle w:val="vlist-s"/>
          <w:rFonts w:ascii="Times New Roman" w:hAnsi="Times New Roman" w:cs="Times New Roman"/>
          <w:sz w:val="20"/>
          <w:szCs w:val="20"/>
          <w:vertAlign w:val="subscript"/>
        </w:rPr>
        <w:t>​</w:t>
      </w:r>
      <w:r w:rsidRPr="00E367A2">
        <w:rPr>
          <w:rFonts w:ascii="Times New Roman" w:hAnsi="Times New Roman" w:cs="Times New Roman"/>
          <w:sz w:val="20"/>
          <w:szCs w:val="20"/>
        </w:rPr>
        <w:t>)</w:t>
      </w:r>
    </w:p>
    <w:p w14:paraId="5A2941AB" w14:textId="77777777"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There is no positive correlation between the demographic profile (higher educational attainment and higher income) of urban youth in Nepal and more responsible and proactive financial behaviour.</w:t>
      </w:r>
    </w:p>
    <w:p w14:paraId="7BC92F62" w14:textId="77777777"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Alternative Hypothesis (Ha)</w:t>
      </w:r>
    </w:p>
    <w:p w14:paraId="702BC2E0" w14:textId="77777777"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 demographic profile (specifically, higher educational attainment and higher income) of urban youth in Nepal is positively correlated with more responsible and proactive financial behaviour.</w:t>
      </w:r>
    </w:p>
    <w:p w14:paraId="62971B28" w14:textId="77777777" w:rsidR="00E367A2" w:rsidRDefault="00E367A2" w:rsidP="0029066D">
      <w:pPr>
        <w:spacing w:before="120" w:after="0" w:line="276" w:lineRule="auto"/>
        <w:jc w:val="both"/>
        <w:rPr>
          <w:rFonts w:ascii="Times New Roman" w:hAnsi="Times New Roman" w:cs="Times New Roman"/>
          <w:b/>
          <w:sz w:val="20"/>
          <w:szCs w:val="20"/>
        </w:rPr>
        <w:sectPr w:rsidR="00E367A2" w:rsidSect="00E367A2">
          <w:type w:val="continuous"/>
          <w:pgSz w:w="11906" w:h="16838" w:code="9"/>
          <w:pgMar w:top="1440" w:right="1440" w:bottom="1440" w:left="1440" w:header="708" w:footer="708" w:gutter="0"/>
          <w:cols w:num="2" w:space="708"/>
          <w:docGrid w:linePitch="360"/>
        </w:sectPr>
      </w:pPr>
    </w:p>
    <w:p w14:paraId="704C3681" w14:textId="0338DE3C" w:rsidR="00B94A17" w:rsidRPr="00E367A2" w:rsidRDefault="00B14ED6"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 xml:space="preserve">Hypothesis </w:t>
      </w:r>
      <w:r w:rsidR="00A86D80" w:rsidRPr="00E367A2">
        <w:rPr>
          <w:rFonts w:ascii="Times New Roman" w:hAnsi="Times New Roman" w:cs="Times New Roman"/>
          <w:b/>
          <w:sz w:val="20"/>
          <w:szCs w:val="20"/>
        </w:rPr>
        <w:t>Testing:</w:t>
      </w:r>
    </w:p>
    <w:p w14:paraId="796BE429" w14:textId="7F841FA4" w:rsidR="00B94A17" w:rsidRPr="00E367A2" w:rsidRDefault="00B94A17"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lastRenderedPageBreak/>
        <w:drawing>
          <wp:inline distT="0" distB="0" distL="0" distR="0" wp14:anchorId="0ABEDA9B" wp14:editId="6ED0C93B">
            <wp:extent cx="3128708" cy="1783080"/>
            <wp:effectExtent l="76200" t="76200" r="128905" b="140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1090" cy="17901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0BD81B" w14:textId="77777777" w:rsidR="00E367A2" w:rsidRDefault="00E367A2" w:rsidP="0029066D">
      <w:pPr>
        <w:spacing w:before="120" w:after="0" w:line="276" w:lineRule="auto"/>
        <w:jc w:val="both"/>
        <w:rPr>
          <w:rFonts w:ascii="Times New Roman" w:hAnsi="Times New Roman" w:cs="Times New Roman"/>
          <w:b/>
          <w:sz w:val="20"/>
          <w:szCs w:val="20"/>
        </w:rPr>
        <w:sectPr w:rsidR="00E367A2" w:rsidSect="0029066D">
          <w:type w:val="continuous"/>
          <w:pgSz w:w="11906" w:h="16838" w:code="9"/>
          <w:pgMar w:top="1440" w:right="1440" w:bottom="1440" w:left="1440" w:header="708" w:footer="708" w:gutter="0"/>
          <w:cols w:space="708"/>
          <w:docGrid w:linePitch="360"/>
        </w:sectPr>
      </w:pPr>
    </w:p>
    <w:p w14:paraId="611E2DC4" w14:textId="2B188941" w:rsidR="00B94A17" w:rsidRPr="00E367A2" w:rsidRDefault="00510A74"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Interpretation</w:t>
      </w:r>
      <w:r w:rsidR="00B94A17" w:rsidRPr="00E367A2">
        <w:rPr>
          <w:rFonts w:ascii="Times New Roman" w:hAnsi="Times New Roman" w:cs="Times New Roman"/>
          <w:b/>
          <w:sz w:val="20"/>
          <w:szCs w:val="20"/>
        </w:rPr>
        <w:t>:</w:t>
      </w:r>
    </w:p>
    <w:p w14:paraId="2C2346D9" w14:textId="09DF0B89" w:rsidR="00B94A17" w:rsidRPr="00E367A2" w:rsidRDefault="00B94A17"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 linear regression analysis strongly supports the hypothesis that the demographic profile positively influences proactive financial behaviour among urban youth in Nepal. The overall model was highly significant (F(2, 135) = 33.889, p &lt; 0.001), explaining 33.4% of the variance in financial behaviour (R² = 0.334). Both predictors were found to be highly significant and positive: Income had the strongest impact (β=0.453, p&lt;0.001), followed by Education (β=0.297, p&lt;0.001). This indicates that urban youth who have higher educational qualifications and, more importantly, greater financial capacity (income) are significantly more likely to engage in proactive investment and responsible financial practices.</w:t>
      </w:r>
    </w:p>
    <w:p w14:paraId="46639AC8" w14:textId="3495C4B8" w:rsidR="00510A74" w:rsidRPr="00E367A2" w:rsidRDefault="00C8226D"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t>H</w:t>
      </w:r>
      <w:r w:rsidR="00510A74" w:rsidRPr="00E367A2">
        <w:rPr>
          <w:rFonts w:ascii="Times New Roman" w:hAnsi="Times New Roman" w:cs="Times New Roman"/>
          <w:b/>
          <w:sz w:val="20"/>
          <w:szCs w:val="20"/>
        </w:rPr>
        <w:t>ypothesis 2:</w:t>
      </w:r>
    </w:p>
    <w:p w14:paraId="63C843C7" w14:textId="77777777" w:rsidR="00510A74" w:rsidRPr="00E367A2" w:rsidRDefault="00510A74"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Null Hypothesis (H</w:t>
      </w:r>
      <w:r w:rsidRPr="00E367A2">
        <w:rPr>
          <w:rFonts w:ascii="Times New Roman" w:hAnsi="Times New Roman" w:cs="Times New Roman"/>
          <w:sz w:val="20"/>
          <w:szCs w:val="20"/>
          <w:vertAlign w:val="subscript"/>
        </w:rPr>
        <w:t>0</w:t>
      </w:r>
      <w:r w:rsidRPr="00E367A2">
        <w:rPr>
          <w:rFonts w:ascii="Times New Roman" w:hAnsi="Times New Roman" w:cs="Times New Roman"/>
          <w:sz w:val="20"/>
          <w:szCs w:val="20"/>
        </w:rPr>
        <w:t>​)</w:t>
      </w:r>
    </w:p>
    <w:p w14:paraId="14DD1F62" w14:textId="77777777" w:rsidR="00510A74" w:rsidRPr="00E367A2" w:rsidRDefault="00510A74"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 xml:space="preserve">There is no significant association between the level of financial literacy and knowledge among urban youth in Nepal and their investment behaviour (risk tolerance/diversification) or their reliance on formal financial institutions for information. </w:t>
      </w:r>
    </w:p>
    <w:p w14:paraId="0209B046" w14:textId="77777777" w:rsidR="00510A74" w:rsidRPr="00E367A2" w:rsidRDefault="00510A74"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Alternate Hypothesis (Ha​)</w:t>
      </w:r>
    </w:p>
    <w:p w14:paraId="3E96400A" w14:textId="01C3D6F8" w:rsidR="00510A74" w:rsidRPr="00E367A2" w:rsidRDefault="00510A74"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A higher level of financial literacy and knowledge among urban youth in Nepal is positively and significantly associated with more diversified and risk-tolerant investment behaviour and a greater reliance on formal financial institutions and educational resources for financial information.</w:t>
      </w:r>
    </w:p>
    <w:p w14:paraId="086E72EE" w14:textId="77777777" w:rsidR="00E367A2" w:rsidRDefault="00E367A2" w:rsidP="0029066D">
      <w:pPr>
        <w:spacing w:before="120" w:after="0" w:line="276" w:lineRule="auto"/>
        <w:jc w:val="both"/>
        <w:rPr>
          <w:rFonts w:ascii="Times New Roman" w:hAnsi="Times New Roman" w:cs="Times New Roman"/>
          <w:b/>
          <w:sz w:val="20"/>
          <w:szCs w:val="20"/>
        </w:rPr>
        <w:sectPr w:rsidR="00E367A2" w:rsidSect="00A61429">
          <w:type w:val="continuous"/>
          <w:pgSz w:w="11906" w:h="16838" w:code="9"/>
          <w:pgMar w:top="1440" w:right="1440" w:bottom="1440" w:left="1440" w:header="576" w:footer="708" w:gutter="0"/>
          <w:cols w:num="2" w:space="708"/>
          <w:docGrid w:linePitch="360"/>
        </w:sectPr>
      </w:pPr>
    </w:p>
    <w:p w14:paraId="0A35917D" w14:textId="508E614F" w:rsidR="00510A74" w:rsidRPr="00E367A2" w:rsidRDefault="000D7ED1"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b/>
          <w:sz w:val="20"/>
          <w:szCs w:val="20"/>
        </w:rPr>
        <w:t xml:space="preserve">Hypothesis </w:t>
      </w:r>
      <w:r w:rsidR="00A86D80" w:rsidRPr="00E367A2">
        <w:rPr>
          <w:rFonts w:ascii="Times New Roman" w:hAnsi="Times New Roman" w:cs="Times New Roman"/>
          <w:b/>
          <w:sz w:val="20"/>
          <w:szCs w:val="20"/>
        </w:rPr>
        <w:t>Testing</w:t>
      </w:r>
      <w:r w:rsidR="00A86D80" w:rsidRPr="00E367A2">
        <w:rPr>
          <w:rFonts w:ascii="Times New Roman" w:hAnsi="Times New Roman" w:cs="Times New Roman"/>
          <w:sz w:val="20"/>
          <w:szCs w:val="20"/>
        </w:rPr>
        <w:t>:</w:t>
      </w:r>
    </w:p>
    <w:p w14:paraId="61B5C65B" w14:textId="7EF814E4" w:rsidR="00510A74" w:rsidRPr="00E367A2" w:rsidRDefault="00510A74" w:rsidP="00E367A2">
      <w:pPr>
        <w:spacing w:before="120" w:after="0" w:line="276" w:lineRule="auto"/>
        <w:jc w:val="center"/>
        <w:rPr>
          <w:rFonts w:ascii="Times New Roman" w:hAnsi="Times New Roman" w:cs="Times New Roman"/>
          <w:sz w:val="20"/>
          <w:szCs w:val="20"/>
        </w:rPr>
      </w:pPr>
      <w:r w:rsidRPr="00E367A2">
        <w:rPr>
          <w:rFonts w:ascii="Times New Roman" w:hAnsi="Times New Roman" w:cs="Times New Roman"/>
          <w:noProof/>
          <w:sz w:val="20"/>
          <w:szCs w:val="20"/>
          <w:lang w:eastAsia="en-IN"/>
        </w:rPr>
        <w:drawing>
          <wp:inline distT="0" distB="0" distL="0" distR="0" wp14:anchorId="4775B877" wp14:editId="73B39516">
            <wp:extent cx="4183380" cy="2472208"/>
            <wp:effectExtent l="76200" t="76200" r="140970" b="137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89658" cy="24759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6B6DB8" w14:textId="77777777" w:rsidR="00E367A2" w:rsidRDefault="00E367A2" w:rsidP="0029066D">
      <w:pPr>
        <w:spacing w:before="120" w:after="0" w:line="276" w:lineRule="auto"/>
        <w:jc w:val="both"/>
        <w:rPr>
          <w:rFonts w:ascii="Times New Roman" w:hAnsi="Times New Roman" w:cs="Times New Roman"/>
          <w:b/>
          <w:sz w:val="20"/>
          <w:szCs w:val="20"/>
        </w:rPr>
        <w:sectPr w:rsidR="00E367A2" w:rsidSect="0029066D">
          <w:type w:val="continuous"/>
          <w:pgSz w:w="11906" w:h="16838" w:code="9"/>
          <w:pgMar w:top="1440" w:right="1440" w:bottom="1440" w:left="1440" w:header="708" w:footer="708" w:gutter="0"/>
          <w:cols w:space="708"/>
          <w:docGrid w:linePitch="360"/>
        </w:sectPr>
      </w:pPr>
    </w:p>
    <w:p w14:paraId="0989AF4C" w14:textId="14A4530C" w:rsidR="00510A74" w:rsidRPr="00E367A2" w:rsidRDefault="00510A74" w:rsidP="0029066D">
      <w:pPr>
        <w:spacing w:before="120" w:after="0" w:line="276" w:lineRule="auto"/>
        <w:jc w:val="both"/>
        <w:rPr>
          <w:rFonts w:ascii="Times New Roman" w:hAnsi="Times New Roman" w:cs="Times New Roman"/>
          <w:b/>
          <w:sz w:val="20"/>
          <w:szCs w:val="20"/>
        </w:rPr>
      </w:pPr>
      <w:r w:rsidRPr="00E367A2">
        <w:rPr>
          <w:rFonts w:ascii="Times New Roman" w:hAnsi="Times New Roman" w:cs="Times New Roman"/>
          <w:b/>
          <w:sz w:val="20"/>
          <w:szCs w:val="20"/>
        </w:rPr>
        <w:lastRenderedPageBreak/>
        <w:t>Interpretation:</w:t>
      </w:r>
    </w:p>
    <w:p w14:paraId="7F12A88E" w14:textId="70A89DFC" w:rsidR="00510A74" w:rsidRPr="00E367A2" w:rsidRDefault="00510A74" w:rsidP="0029066D">
      <w:pPr>
        <w:spacing w:before="120" w:after="0" w:line="276" w:lineRule="auto"/>
        <w:jc w:val="both"/>
        <w:rPr>
          <w:rFonts w:ascii="Times New Roman" w:hAnsi="Times New Roman" w:cs="Times New Roman"/>
          <w:sz w:val="20"/>
          <w:szCs w:val="20"/>
        </w:rPr>
      </w:pPr>
      <w:r w:rsidRPr="00E367A2">
        <w:rPr>
          <w:rFonts w:ascii="Times New Roman" w:hAnsi="Times New Roman" w:cs="Times New Roman"/>
          <w:sz w:val="20"/>
          <w:szCs w:val="20"/>
        </w:rPr>
        <w:t>The multiple linear regression analysis strongly supports the hypothesis that a youth's Financial Knowledge regarding investment risk significantly predicts their Primary Reason for Investing</w:t>
      </w:r>
      <w:r w:rsidR="00C8226D" w:rsidRPr="00E367A2">
        <w:rPr>
          <w:rFonts w:ascii="Times New Roman" w:hAnsi="Times New Roman" w:cs="Times New Roman"/>
          <w:sz w:val="20"/>
          <w:szCs w:val="20"/>
        </w:rPr>
        <w:t>.</w:t>
      </w:r>
      <w:r w:rsidRPr="00E367A2">
        <w:rPr>
          <w:rFonts w:ascii="Times New Roman" w:hAnsi="Times New Roman" w:cs="Times New Roman"/>
          <w:sz w:val="20"/>
          <w:szCs w:val="20"/>
        </w:rPr>
        <w:t xml:space="preserve"> The overall model was highly significant (F(2,135)=294.084, p&lt;0.001), accounting for 81.3% (R2=0.813) of the variability in the primary investment reason. Both predictors exhibited a significant positive relationship with the dependent variable: The Understanding of Low-Risk investments (β=0.816, p&lt;0.001) proved to be the most dominant factor, while the Understanding of High-Risk investments (β=0.148, p&lt;0.001) also contributed positively, but with a much smaller effect size. This finding </w:t>
      </w:r>
      <w:r w:rsidR="00B40B2F" w:rsidRPr="00E367A2">
        <w:rPr>
          <w:rFonts w:ascii="Times New Roman" w:hAnsi="Times New Roman" w:cs="Times New Roman"/>
          <w:sz w:val="20"/>
          <w:szCs w:val="20"/>
        </w:rPr>
        <w:t>emphasises</w:t>
      </w:r>
      <w:r w:rsidRPr="00E367A2">
        <w:rPr>
          <w:rFonts w:ascii="Times New Roman" w:hAnsi="Times New Roman" w:cs="Times New Roman"/>
          <w:sz w:val="20"/>
          <w:szCs w:val="20"/>
        </w:rPr>
        <w:t xml:space="preserve"> that among urban youth, knowledge related to safer, low-risk options </w:t>
      </w:r>
      <w:r w:rsidR="00B40B2F" w:rsidRPr="00E367A2">
        <w:rPr>
          <w:rFonts w:ascii="Times New Roman" w:hAnsi="Times New Roman" w:cs="Times New Roman"/>
          <w:sz w:val="20"/>
          <w:szCs w:val="20"/>
        </w:rPr>
        <w:t>are</w:t>
      </w:r>
      <w:r w:rsidRPr="00E367A2">
        <w:rPr>
          <w:rFonts w:ascii="Times New Roman" w:hAnsi="Times New Roman" w:cs="Times New Roman"/>
          <w:sz w:val="20"/>
          <w:szCs w:val="20"/>
        </w:rPr>
        <w:t xml:space="preserve"> the primary driver shaping their core motivation for engaging in financial behaviour.</w:t>
      </w:r>
    </w:p>
    <w:p w14:paraId="1E7F6328" w14:textId="1FDA06B4" w:rsidR="00FA7076" w:rsidRPr="00E367A2" w:rsidRDefault="00FA7076" w:rsidP="0029066D">
      <w:pPr>
        <w:spacing w:before="120" w:after="0" w:line="276" w:lineRule="auto"/>
        <w:jc w:val="both"/>
        <w:rPr>
          <w:rFonts w:ascii="Times New Roman" w:hAnsi="Times New Roman" w:cs="Times New Roman"/>
          <w:b/>
          <w:bCs/>
          <w:sz w:val="20"/>
          <w:szCs w:val="20"/>
        </w:rPr>
      </w:pPr>
      <w:r w:rsidRPr="00E367A2">
        <w:rPr>
          <w:rFonts w:ascii="Times New Roman" w:hAnsi="Times New Roman" w:cs="Times New Roman"/>
          <w:b/>
          <w:bCs/>
          <w:sz w:val="20"/>
          <w:szCs w:val="20"/>
        </w:rPr>
        <w:t>References-</w:t>
      </w:r>
    </w:p>
    <w:p w14:paraId="13892734" w14:textId="17442602"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Atkinson, A., &amp; Messy, F. (2012). </w:t>
      </w:r>
      <w:r w:rsidRPr="00E367A2">
        <w:rPr>
          <w:rFonts w:ascii="Times New Roman" w:hAnsi="Times New Roman" w:cs="Times New Roman"/>
          <w:bCs/>
          <w:iCs/>
          <w:sz w:val="20"/>
          <w:szCs w:val="20"/>
        </w:rPr>
        <w:t>Measuring financial literacy: Results of the OECD / International Network on Financial Education (INFE) pilot study</w:t>
      </w:r>
      <w:r w:rsidRPr="00E367A2">
        <w:rPr>
          <w:rFonts w:ascii="Times New Roman" w:hAnsi="Times New Roman" w:cs="Times New Roman"/>
          <w:bCs/>
          <w:sz w:val="20"/>
          <w:szCs w:val="20"/>
        </w:rPr>
        <w:t>. OECD Publishing. https://doi.org/10.1787/5k9csfs90fr4-en</w:t>
      </w:r>
    </w:p>
    <w:p w14:paraId="0FB1A1BA" w14:textId="4D226AC2"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Bhushan, P. (2014). Insights into awareness level and investment behaviour of salaried individuals towards financial products. </w:t>
      </w:r>
      <w:r w:rsidRPr="00E367A2">
        <w:rPr>
          <w:rFonts w:ascii="Times New Roman" w:hAnsi="Times New Roman" w:cs="Times New Roman"/>
          <w:bCs/>
          <w:iCs/>
          <w:sz w:val="20"/>
          <w:szCs w:val="20"/>
        </w:rPr>
        <w:t>International Journal of Engineering, Business and Enterprise Applications, 8</w:t>
      </w:r>
      <w:r w:rsidRPr="00E367A2">
        <w:rPr>
          <w:rFonts w:ascii="Times New Roman" w:hAnsi="Times New Roman" w:cs="Times New Roman"/>
          <w:bCs/>
          <w:sz w:val="20"/>
          <w:szCs w:val="20"/>
        </w:rPr>
        <w:t>(1), 53–57.</w:t>
      </w:r>
    </w:p>
    <w:p w14:paraId="2C961A03" w14:textId="40E55584"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Chavali, K., &amp; Mohanraj, P. (2016). Impact of demographic variables and risk tolerance on investment decisions: An empirical analysis. </w:t>
      </w:r>
      <w:r w:rsidRPr="00E367A2">
        <w:rPr>
          <w:rFonts w:ascii="Times New Roman" w:hAnsi="Times New Roman" w:cs="Times New Roman"/>
          <w:bCs/>
          <w:iCs/>
          <w:sz w:val="20"/>
          <w:szCs w:val="20"/>
        </w:rPr>
        <w:t>International Journal of Economics and Financial Issues, 6</w:t>
      </w:r>
      <w:r w:rsidRPr="00E367A2">
        <w:rPr>
          <w:rFonts w:ascii="Times New Roman" w:hAnsi="Times New Roman" w:cs="Times New Roman"/>
          <w:bCs/>
          <w:sz w:val="20"/>
          <w:szCs w:val="20"/>
        </w:rPr>
        <w:t>(1), 169–175.</w:t>
      </w:r>
    </w:p>
    <w:p w14:paraId="1570BCD5" w14:textId="21D9021D"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Dahal, S., &amp; Regmi, K. (2021). Financial literacy and financial </w:t>
      </w:r>
      <w:r w:rsidR="00646C7D" w:rsidRPr="00E367A2">
        <w:rPr>
          <w:rFonts w:ascii="Times New Roman" w:hAnsi="Times New Roman" w:cs="Times New Roman"/>
          <w:bCs/>
          <w:sz w:val="20"/>
          <w:szCs w:val="20"/>
        </w:rPr>
        <w:t>behaviour</w:t>
      </w:r>
      <w:r w:rsidRPr="00E367A2">
        <w:rPr>
          <w:rFonts w:ascii="Times New Roman" w:hAnsi="Times New Roman" w:cs="Times New Roman"/>
          <w:bCs/>
          <w:sz w:val="20"/>
          <w:szCs w:val="20"/>
        </w:rPr>
        <w:t xml:space="preserve">: A study of university students in Nepal. </w:t>
      </w:r>
      <w:r w:rsidRPr="00E367A2">
        <w:rPr>
          <w:rFonts w:ascii="Times New Roman" w:hAnsi="Times New Roman" w:cs="Times New Roman"/>
          <w:bCs/>
          <w:iCs/>
          <w:sz w:val="20"/>
          <w:szCs w:val="20"/>
        </w:rPr>
        <w:t>Journal of Business and Social Sciences Research, 6</w:t>
      </w:r>
      <w:r w:rsidRPr="00E367A2">
        <w:rPr>
          <w:rFonts w:ascii="Times New Roman" w:hAnsi="Times New Roman" w:cs="Times New Roman"/>
          <w:bCs/>
          <w:sz w:val="20"/>
          <w:szCs w:val="20"/>
        </w:rPr>
        <w:t>(1), 1–16. https://doi.org/10.3126/jbssr.v6i1.37771</w:t>
      </w:r>
    </w:p>
    <w:p w14:paraId="210905C2" w14:textId="1697E5FA"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Khan, M. N., Hussain, A., &amp; Mehmood, W. (2019). Financial literacy and investment decisions of young investors: Evidence from South Asia. </w:t>
      </w:r>
      <w:r w:rsidRPr="00E367A2">
        <w:rPr>
          <w:rFonts w:ascii="Times New Roman" w:hAnsi="Times New Roman" w:cs="Times New Roman"/>
          <w:bCs/>
          <w:iCs/>
          <w:sz w:val="20"/>
          <w:szCs w:val="20"/>
        </w:rPr>
        <w:t>Asian Economic and Financial Review, 9</w:t>
      </w:r>
      <w:r w:rsidRPr="00E367A2">
        <w:rPr>
          <w:rFonts w:ascii="Times New Roman" w:hAnsi="Times New Roman" w:cs="Times New Roman"/>
          <w:bCs/>
          <w:sz w:val="20"/>
          <w:szCs w:val="20"/>
        </w:rPr>
        <w:t xml:space="preserve">(1), 62–74. </w:t>
      </w:r>
      <w:r w:rsidRPr="00E367A2">
        <w:rPr>
          <w:rFonts w:ascii="Times New Roman" w:hAnsi="Times New Roman" w:cs="Times New Roman"/>
          <w:bCs/>
          <w:sz w:val="20"/>
          <w:szCs w:val="20"/>
        </w:rPr>
        <w:t>https://doi.org/10.18488/journal.aefr.2019.91.62.74</w:t>
      </w:r>
    </w:p>
    <w:p w14:paraId="722E96CD" w14:textId="462E3AD5"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Lusardi, A., &amp; Mitchell, O. S. (2014). The economic importance of financial literacy: Theory and evidence. </w:t>
      </w:r>
      <w:r w:rsidRPr="00E367A2">
        <w:rPr>
          <w:rFonts w:ascii="Times New Roman" w:hAnsi="Times New Roman" w:cs="Times New Roman"/>
          <w:bCs/>
          <w:iCs/>
          <w:sz w:val="20"/>
          <w:szCs w:val="20"/>
        </w:rPr>
        <w:t>Journal of Economic Literature, 52</w:t>
      </w:r>
      <w:r w:rsidRPr="00E367A2">
        <w:rPr>
          <w:rFonts w:ascii="Times New Roman" w:hAnsi="Times New Roman" w:cs="Times New Roman"/>
          <w:bCs/>
          <w:sz w:val="20"/>
          <w:szCs w:val="20"/>
        </w:rPr>
        <w:t>(1), 5–44. https://doi.org/10.1257/jel.52.1.5</w:t>
      </w:r>
    </w:p>
    <w:p w14:paraId="005C2093" w14:textId="7378BFF2"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Lusardi, A., &amp; Tufano, P. (2015). Debt literacy, financial experiences, and </w:t>
      </w:r>
      <w:r w:rsidR="00646C7D" w:rsidRPr="00E367A2">
        <w:rPr>
          <w:rFonts w:ascii="Times New Roman" w:hAnsi="Times New Roman" w:cs="Times New Roman"/>
          <w:bCs/>
          <w:sz w:val="20"/>
          <w:szCs w:val="20"/>
        </w:rPr>
        <w:t>over indebtedness</w:t>
      </w:r>
      <w:r w:rsidRPr="00E367A2">
        <w:rPr>
          <w:rFonts w:ascii="Times New Roman" w:hAnsi="Times New Roman" w:cs="Times New Roman"/>
          <w:bCs/>
          <w:sz w:val="20"/>
          <w:szCs w:val="20"/>
        </w:rPr>
        <w:t xml:space="preserve">. </w:t>
      </w:r>
      <w:r w:rsidRPr="00E367A2">
        <w:rPr>
          <w:rFonts w:ascii="Times New Roman" w:hAnsi="Times New Roman" w:cs="Times New Roman"/>
          <w:bCs/>
          <w:iCs/>
          <w:sz w:val="20"/>
          <w:szCs w:val="20"/>
        </w:rPr>
        <w:t>Journal of Pension Economics &amp; Finance, 14</w:t>
      </w:r>
      <w:r w:rsidRPr="00E367A2">
        <w:rPr>
          <w:rFonts w:ascii="Times New Roman" w:hAnsi="Times New Roman" w:cs="Times New Roman"/>
          <w:bCs/>
          <w:sz w:val="20"/>
          <w:szCs w:val="20"/>
        </w:rPr>
        <w:t>(4), 332–368. https://doi.org/10.1017/S1474747215000232</w:t>
      </w:r>
    </w:p>
    <w:p w14:paraId="695A62AB" w14:textId="0C9B56F0"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OECD. (2017). </w:t>
      </w:r>
      <w:r w:rsidRPr="00E367A2">
        <w:rPr>
          <w:rFonts w:ascii="Times New Roman" w:hAnsi="Times New Roman" w:cs="Times New Roman"/>
          <w:bCs/>
          <w:iCs/>
          <w:sz w:val="20"/>
          <w:szCs w:val="20"/>
        </w:rPr>
        <w:t>OECD/INFE report on adult financial literacy in G20 countries</w:t>
      </w:r>
      <w:r w:rsidRPr="00E367A2">
        <w:rPr>
          <w:rFonts w:ascii="Times New Roman" w:hAnsi="Times New Roman" w:cs="Times New Roman"/>
          <w:bCs/>
          <w:sz w:val="20"/>
          <w:szCs w:val="20"/>
        </w:rPr>
        <w:t>. OECD Publishing. https://www.oecd.org/finance/oecd-infe-report-adult-financial-literacy-in-g20-countries.htm</w:t>
      </w:r>
    </w:p>
    <w:p w14:paraId="4B882DF6" w14:textId="13B27A1B"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Pankow, D. (2012). </w:t>
      </w:r>
      <w:r w:rsidRPr="00E367A2">
        <w:rPr>
          <w:rFonts w:ascii="Times New Roman" w:hAnsi="Times New Roman" w:cs="Times New Roman"/>
          <w:bCs/>
          <w:iCs/>
          <w:sz w:val="20"/>
          <w:szCs w:val="20"/>
        </w:rPr>
        <w:t>Financial values, attitudes and goals of college-age students</w:t>
      </w:r>
      <w:r w:rsidRPr="00E367A2">
        <w:rPr>
          <w:rFonts w:ascii="Times New Roman" w:hAnsi="Times New Roman" w:cs="Times New Roman"/>
          <w:bCs/>
          <w:sz w:val="20"/>
          <w:szCs w:val="20"/>
        </w:rPr>
        <w:t>. North Dakota State University Extension Service.</w:t>
      </w:r>
    </w:p>
    <w:p w14:paraId="4258178D" w14:textId="7657ECFB"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Rooij, M. C. J., Lusardi, A., &amp; Alessie, R. (2011). Financial literacy and stock market participation. </w:t>
      </w:r>
      <w:r w:rsidRPr="00E367A2">
        <w:rPr>
          <w:rFonts w:ascii="Times New Roman" w:hAnsi="Times New Roman" w:cs="Times New Roman"/>
          <w:bCs/>
          <w:iCs/>
          <w:sz w:val="20"/>
          <w:szCs w:val="20"/>
        </w:rPr>
        <w:t>Journal of Financial Economics, 101</w:t>
      </w:r>
      <w:r w:rsidRPr="00E367A2">
        <w:rPr>
          <w:rFonts w:ascii="Times New Roman" w:hAnsi="Times New Roman" w:cs="Times New Roman"/>
          <w:bCs/>
          <w:sz w:val="20"/>
          <w:szCs w:val="20"/>
        </w:rPr>
        <w:t>(2), 449–472. https://doi.org/10.1016/j.jfineco.2011.03.006</w:t>
      </w:r>
    </w:p>
    <w:p w14:paraId="488C4640" w14:textId="3686D77C" w:rsidR="0008350A"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Sharma, P., &amp; Khadka, D. (2019). Financial literacy and stock market participation in Nepal. </w:t>
      </w:r>
      <w:r w:rsidRPr="00E367A2">
        <w:rPr>
          <w:rFonts w:ascii="Times New Roman" w:hAnsi="Times New Roman" w:cs="Times New Roman"/>
          <w:bCs/>
          <w:iCs/>
          <w:sz w:val="20"/>
          <w:szCs w:val="20"/>
        </w:rPr>
        <w:t>Nepalese Journal of Finance, 6</w:t>
      </w:r>
      <w:r w:rsidRPr="00E367A2">
        <w:rPr>
          <w:rFonts w:ascii="Times New Roman" w:hAnsi="Times New Roman" w:cs="Times New Roman"/>
          <w:bCs/>
          <w:sz w:val="20"/>
          <w:szCs w:val="20"/>
        </w:rPr>
        <w:t>(1), 45–60.</w:t>
      </w:r>
    </w:p>
    <w:p w14:paraId="4AC6E472" w14:textId="79D5E2E2" w:rsidR="00D23549" w:rsidRPr="00E367A2" w:rsidRDefault="0008350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Sharma, S., &amp; Neupane, B. (2020). Financial literacy and its impact on personal financial decisions: Evidence from Nepal. </w:t>
      </w:r>
      <w:r w:rsidRPr="00E367A2">
        <w:rPr>
          <w:rFonts w:ascii="Times New Roman" w:hAnsi="Times New Roman" w:cs="Times New Roman"/>
          <w:bCs/>
          <w:iCs/>
          <w:sz w:val="20"/>
          <w:szCs w:val="20"/>
        </w:rPr>
        <w:t>Journal of Economics and Developmen</w:t>
      </w:r>
      <w:r w:rsidR="004961AA" w:rsidRPr="00E367A2">
        <w:rPr>
          <w:rFonts w:ascii="Times New Roman" w:hAnsi="Times New Roman" w:cs="Times New Roman"/>
          <w:bCs/>
          <w:iCs/>
          <w:sz w:val="20"/>
          <w:szCs w:val="20"/>
        </w:rPr>
        <w:t xml:space="preserve"> </w:t>
      </w:r>
      <w:r w:rsidRPr="00E367A2">
        <w:rPr>
          <w:rFonts w:ascii="Times New Roman" w:hAnsi="Times New Roman" w:cs="Times New Roman"/>
          <w:bCs/>
          <w:iCs/>
          <w:sz w:val="20"/>
          <w:szCs w:val="20"/>
        </w:rPr>
        <w:t>t Studies, 8</w:t>
      </w:r>
      <w:r w:rsidRPr="00E367A2">
        <w:rPr>
          <w:rFonts w:ascii="Times New Roman" w:hAnsi="Times New Roman" w:cs="Times New Roman"/>
          <w:bCs/>
          <w:sz w:val="20"/>
          <w:szCs w:val="20"/>
        </w:rPr>
        <w:t>(1), 1–10.</w:t>
      </w:r>
    </w:p>
    <w:p w14:paraId="6F69F01A" w14:textId="1D6DECEB" w:rsidR="00D23549" w:rsidRPr="00E367A2" w:rsidRDefault="00D23549"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Sujatha, R. (2016). A study on investors’ preference towards various investment avenues in Dehradun district. </w:t>
      </w:r>
      <w:r w:rsidRPr="00E367A2">
        <w:rPr>
          <w:rFonts w:ascii="Times New Roman" w:hAnsi="Times New Roman" w:cs="Times New Roman"/>
          <w:bCs/>
          <w:iCs/>
          <w:sz w:val="20"/>
          <w:szCs w:val="20"/>
        </w:rPr>
        <w:t>International Journal of Research in Finance and Marketing, 6</w:t>
      </w:r>
      <w:r w:rsidRPr="00E367A2">
        <w:rPr>
          <w:rFonts w:ascii="Times New Roman" w:hAnsi="Times New Roman" w:cs="Times New Roman"/>
          <w:bCs/>
          <w:sz w:val="20"/>
          <w:szCs w:val="20"/>
        </w:rPr>
        <w:t>(8), 25–36.</w:t>
      </w:r>
      <w:r w:rsidR="004961AA" w:rsidRPr="00E367A2">
        <w:rPr>
          <w:rFonts w:ascii="Times New Roman" w:hAnsi="Times New Roman" w:cs="Times New Roman"/>
          <w:bCs/>
          <w:sz w:val="20"/>
          <w:szCs w:val="20"/>
        </w:rPr>
        <w:t xml:space="preserve"> </w:t>
      </w:r>
    </w:p>
    <w:p w14:paraId="62D05C7C" w14:textId="6C61AA79"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Kaakandikar, R., &amp;Rangade, A. (2019, November 9). A study on job satisfaction of employees in an organization. Think India Journal - VicharNyas Foundation. Retrieved from </w:t>
      </w:r>
      <w:hyperlink r:id="rId29" w:history="1">
        <w:r w:rsidRPr="00E367A2">
          <w:rPr>
            <w:rStyle w:val="Hyperlink"/>
            <w:rFonts w:ascii="Times New Roman" w:eastAsiaTheme="minorHAnsi" w:hAnsi="Times New Roman" w:cs="Times New Roman"/>
            <w:bCs/>
            <w:color w:val="auto"/>
            <w:kern w:val="2"/>
            <w:sz w:val="20"/>
            <w:szCs w:val="20"/>
          </w:rPr>
          <w:t>https://thinkindiaquarterly.org/index.php/think-india/article/view/10355</w:t>
        </w:r>
      </w:hyperlink>
      <w:r w:rsidRPr="00E367A2">
        <w:rPr>
          <w:rFonts w:ascii="Times New Roman" w:hAnsi="Times New Roman" w:cs="Times New Roman"/>
          <w:bCs/>
          <w:sz w:val="20"/>
          <w:szCs w:val="20"/>
        </w:rPr>
        <w:t xml:space="preserve"> </w:t>
      </w:r>
    </w:p>
    <w:p w14:paraId="6E78E346" w14:textId="74E1BE94"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lastRenderedPageBreak/>
        <w:t xml:space="preserve">Kaakandikar, D. R. (2020). Impact of artificial intelligence on our society. Zenodo. </w:t>
      </w:r>
      <w:hyperlink r:id="rId30" w:history="1">
        <w:r w:rsidRPr="00E367A2">
          <w:rPr>
            <w:rStyle w:val="Hyperlink"/>
            <w:rFonts w:ascii="Times New Roman" w:eastAsiaTheme="minorHAnsi" w:hAnsi="Times New Roman" w:cs="Times New Roman"/>
            <w:bCs/>
            <w:color w:val="auto"/>
            <w:kern w:val="2"/>
            <w:sz w:val="20"/>
            <w:szCs w:val="20"/>
          </w:rPr>
          <w:t>https://doi.org/10.5281/zenodo.13683725</w:t>
        </w:r>
      </w:hyperlink>
      <w:r w:rsidRPr="00E367A2">
        <w:rPr>
          <w:rFonts w:ascii="Times New Roman" w:hAnsi="Times New Roman" w:cs="Times New Roman"/>
          <w:bCs/>
          <w:sz w:val="20"/>
          <w:szCs w:val="20"/>
        </w:rPr>
        <w:t xml:space="preserve"> </w:t>
      </w:r>
    </w:p>
    <w:p w14:paraId="2EB3F9A7" w14:textId="602DBB32"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Kaakandikar, D. R. (2020). Study of product branding with digital marketing. Zenodo. </w:t>
      </w:r>
      <w:hyperlink r:id="rId31" w:history="1">
        <w:r w:rsidRPr="00E367A2">
          <w:rPr>
            <w:rStyle w:val="Hyperlink"/>
            <w:rFonts w:ascii="Times New Roman" w:eastAsiaTheme="minorHAnsi" w:hAnsi="Times New Roman" w:cs="Times New Roman"/>
            <w:bCs/>
            <w:color w:val="auto"/>
            <w:kern w:val="2"/>
            <w:sz w:val="20"/>
            <w:szCs w:val="20"/>
          </w:rPr>
          <w:t>https://doi.org/10.5281/zenodo.13683782</w:t>
        </w:r>
      </w:hyperlink>
      <w:r w:rsidRPr="00E367A2">
        <w:rPr>
          <w:rFonts w:ascii="Times New Roman" w:hAnsi="Times New Roman" w:cs="Times New Roman"/>
          <w:bCs/>
          <w:sz w:val="20"/>
          <w:szCs w:val="20"/>
        </w:rPr>
        <w:t xml:space="preserve"> </w:t>
      </w:r>
    </w:p>
    <w:p w14:paraId="497D5402" w14:textId="34CB90BE"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arXiv. (2023). Artificial intelligence impact on the labour force: Searching for the analytical skills of future software engineers. Retrieved from </w:t>
      </w:r>
      <w:hyperlink r:id="rId32" w:history="1">
        <w:r w:rsidRPr="00E367A2">
          <w:rPr>
            <w:rStyle w:val="Hyperlink"/>
            <w:rFonts w:ascii="Times New Roman" w:eastAsiaTheme="minorHAnsi" w:hAnsi="Times New Roman" w:cs="Times New Roman"/>
            <w:bCs/>
            <w:color w:val="auto"/>
            <w:kern w:val="2"/>
            <w:sz w:val="20"/>
            <w:szCs w:val="20"/>
          </w:rPr>
          <w:t>https://arxiv.org/abs/2302.13229</w:t>
        </w:r>
      </w:hyperlink>
      <w:r w:rsidRPr="00E367A2">
        <w:rPr>
          <w:rFonts w:ascii="Times New Roman" w:hAnsi="Times New Roman" w:cs="Times New Roman"/>
          <w:bCs/>
          <w:sz w:val="20"/>
          <w:szCs w:val="20"/>
        </w:rPr>
        <w:t xml:space="preserve"> </w:t>
      </w:r>
    </w:p>
    <w:p w14:paraId="680CB07C" w14:textId="1EB76DC4"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EdSurge News. (2024, January 24). The critical power skills needed for the AI era. Retrieved from </w:t>
      </w:r>
      <w:hyperlink r:id="rId33" w:history="1">
        <w:r w:rsidRPr="00E367A2">
          <w:rPr>
            <w:rStyle w:val="Hyperlink"/>
            <w:rFonts w:ascii="Times New Roman" w:eastAsiaTheme="minorHAnsi" w:hAnsi="Times New Roman" w:cs="Times New Roman"/>
            <w:bCs/>
            <w:color w:val="auto"/>
            <w:kern w:val="2"/>
            <w:sz w:val="20"/>
            <w:szCs w:val="20"/>
          </w:rPr>
          <w:t>https://www.edsurge.com/news/2024-01-24-the-critical-power-skills-needed-for-the-ai-era</w:t>
        </w:r>
      </w:hyperlink>
      <w:r w:rsidRPr="00E367A2">
        <w:rPr>
          <w:rFonts w:ascii="Times New Roman" w:hAnsi="Times New Roman" w:cs="Times New Roman"/>
          <w:bCs/>
          <w:sz w:val="20"/>
          <w:szCs w:val="20"/>
        </w:rPr>
        <w:t xml:space="preserve"> </w:t>
      </w:r>
    </w:p>
    <w:p w14:paraId="49DB6421" w14:textId="016454F6"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Business Insider. (2024, July). These are the top skills you need to help land a job in AI. Retrieved from </w:t>
      </w:r>
      <w:hyperlink r:id="rId34" w:history="1">
        <w:r w:rsidRPr="00E367A2">
          <w:rPr>
            <w:rStyle w:val="Hyperlink"/>
            <w:rFonts w:ascii="Times New Roman" w:eastAsiaTheme="minorHAnsi" w:hAnsi="Times New Roman" w:cs="Times New Roman"/>
            <w:bCs/>
            <w:color w:val="auto"/>
            <w:kern w:val="2"/>
            <w:sz w:val="20"/>
            <w:szCs w:val="20"/>
          </w:rPr>
          <w:t>https://www.businessinsider.com/ai-top-skills-you-need-get-job-2024-7</w:t>
        </w:r>
      </w:hyperlink>
      <w:r w:rsidRPr="00E367A2">
        <w:rPr>
          <w:rFonts w:ascii="Times New Roman" w:hAnsi="Times New Roman" w:cs="Times New Roman"/>
          <w:bCs/>
          <w:sz w:val="20"/>
          <w:szCs w:val="20"/>
        </w:rPr>
        <w:t xml:space="preserve"> </w:t>
      </w:r>
    </w:p>
    <w:p w14:paraId="009D3317" w14:textId="0DE04D2F"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Business Insider. (2024, October). Leaders from BCG, Infosys, AARP, and more predict how AI will transform top companies in the next 12 months. Retrieved from </w:t>
      </w:r>
      <w:hyperlink r:id="rId35" w:history="1">
        <w:r w:rsidRPr="00E367A2">
          <w:rPr>
            <w:rStyle w:val="Hyperlink"/>
            <w:rFonts w:ascii="Times New Roman" w:eastAsiaTheme="minorHAnsi" w:hAnsi="Times New Roman" w:cs="Times New Roman"/>
            <w:bCs/>
            <w:color w:val="auto"/>
            <w:kern w:val="2"/>
            <w:sz w:val="20"/>
            <w:szCs w:val="20"/>
          </w:rPr>
          <w:t>https://www.businessinsider.com/leaders-discuss-ai-technology-transform-company-workflows-unlock-employee-potential-2024-10</w:t>
        </w:r>
      </w:hyperlink>
      <w:r w:rsidRPr="00E367A2">
        <w:rPr>
          <w:rFonts w:ascii="Times New Roman" w:hAnsi="Times New Roman" w:cs="Times New Roman"/>
          <w:bCs/>
          <w:sz w:val="20"/>
          <w:szCs w:val="20"/>
        </w:rPr>
        <w:t xml:space="preserve"> </w:t>
      </w:r>
    </w:p>
    <w:p w14:paraId="29BD9874" w14:textId="25EF5750"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Kaakandikar, R., Gawande, R. P., Deshmukh, V. A., Raskar, S., &amp;Mulani, H. I. (2024). The strategic significance of artificial intelligence (AI) in HR operations and management. European Economic Letters (EEL), 14(3), 1424–1433. </w:t>
      </w:r>
      <w:hyperlink r:id="rId36" w:history="1">
        <w:r w:rsidRPr="00E367A2">
          <w:rPr>
            <w:rStyle w:val="Hyperlink"/>
            <w:rFonts w:ascii="Times New Roman" w:eastAsiaTheme="minorHAnsi" w:hAnsi="Times New Roman" w:cs="Times New Roman"/>
            <w:bCs/>
            <w:color w:val="auto"/>
            <w:kern w:val="2"/>
            <w:sz w:val="20"/>
            <w:szCs w:val="20"/>
          </w:rPr>
          <w:t>https://doi.org/10.52783/eel.v14i3.1907</w:t>
        </w:r>
      </w:hyperlink>
      <w:r w:rsidRPr="00E367A2">
        <w:rPr>
          <w:rFonts w:ascii="Times New Roman" w:hAnsi="Times New Roman" w:cs="Times New Roman"/>
          <w:bCs/>
          <w:sz w:val="20"/>
          <w:szCs w:val="20"/>
        </w:rPr>
        <w:t xml:space="preserve"> </w:t>
      </w:r>
    </w:p>
    <w:p w14:paraId="698E5C3A" w14:textId="231831A3"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Kaakandikar, D. R. (2024). Cultural intelligence pedagogy in management education: Nurturing diversity-responsive leaders. Zenodo, 44(6). </w:t>
      </w:r>
      <w:hyperlink r:id="rId37" w:history="1">
        <w:r w:rsidRPr="00E367A2">
          <w:rPr>
            <w:rStyle w:val="Hyperlink"/>
            <w:rFonts w:ascii="Times New Roman" w:eastAsiaTheme="minorHAnsi" w:hAnsi="Times New Roman" w:cs="Times New Roman"/>
            <w:bCs/>
            <w:color w:val="auto"/>
            <w:kern w:val="2"/>
            <w:sz w:val="20"/>
            <w:szCs w:val="20"/>
          </w:rPr>
          <w:t>https://doi.org/10.5281/zenodo.13705855</w:t>
        </w:r>
      </w:hyperlink>
      <w:r w:rsidRPr="00E367A2">
        <w:rPr>
          <w:rFonts w:ascii="Times New Roman" w:hAnsi="Times New Roman" w:cs="Times New Roman"/>
          <w:bCs/>
          <w:sz w:val="20"/>
          <w:szCs w:val="20"/>
        </w:rPr>
        <w:t xml:space="preserve"> </w:t>
      </w:r>
    </w:p>
    <w:p w14:paraId="15750A5B" w14:textId="0070DB1F"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Kaakandikar, R., Kaushik, K., Tiwari, P., &amp;Ningule, S. S. (Eds.). (2024). Fintech and blockchains trends in the financial sector. Bentham Science Publishers. </w:t>
      </w:r>
      <w:hyperlink r:id="rId38" w:history="1">
        <w:r w:rsidRPr="00E367A2">
          <w:rPr>
            <w:rStyle w:val="Hyperlink"/>
            <w:rFonts w:ascii="Times New Roman" w:eastAsiaTheme="minorHAnsi" w:hAnsi="Times New Roman" w:cs="Times New Roman"/>
            <w:bCs/>
            <w:color w:val="auto"/>
            <w:kern w:val="2"/>
            <w:sz w:val="20"/>
            <w:szCs w:val="20"/>
          </w:rPr>
          <w:t>https://doi.org/10.2174/97898152568331240101</w:t>
        </w:r>
      </w:hyperlink>
      <w:r w:rsidRPr="00E367A2">
        <w:rPr>
          <w:rFonts w:ascii="Times New Roman" w:hAnsi="Times New Roman" w:cs="Times New Roman"/>
          <w:bCs/>
          <w:sz w:val="20"/>
          <w:szCs w:val="20"/>
        </w:rPr>
        <w:t xml:space="preserve"> </w:t>
      </w:r>
    </w:p>
    <w:p w14:paraId="461B08CB" w14:textId="1B792912" w:rsidR="004961AA" w:rsidRPr="00E367A2" w:rsidRDefault="004961AA" w:rsidP="00E367A2">
      <w:pPr>
        <w:pStyle w:val="ListParagraph"/>
        <w:numPr>
          <w:ilvl w:val="0"/>
          <w:numId w:val="4"/>
        </w:numPr>
        <w:spacing w:before="120" w:after="0" w:line="276" w:lineRule="auto"/>
        <w:ind w:left="360"/>
        <w:jc w:val="both"/>
        <w:rPr>
          <w:rFonts w:ascii="Times New Roman" w:hAnsi="Times New Roman" w:cs="Times New Roman"/>
          <w:bCs/>
          <w:sz w:val="20"/>
          <w:szCs w:val="20"/>
        </w:rPr>
      </w:pPr>
      <w:r w:rsidRPr="00E367A2">
        <w:rPr>
          <w:rFonts w:ascii="Times New Roman" w:hAnsi="Times New Roman" w:cs="Times New Roman"/>
          <w:bCs/>
          <w:sz w:val="20"/>
          <w:szCs w:val="20"/>
        </w:rPr>
        <w:t xml:space="preserve">Tiwari, P., Kaakandikar, R., Bhosale, S. S., Nirmala, K., &amp;Kasar, B. (2024). A critical study of behavioural factors affecting mutual funds investors with special reference to Pune District. Economic Sciences (ES), 20(2), 47–61. </w:t>
      </w:r>
      <w:hyperlink r:id="rId39" w:history="1">
        <w:r w:rsidRPr="00E367A2">
          <w:rPr>
            <w:rStyle w:val="Hyperlink"/>
            <w:rFonts w:ascii="Times New Roman" w:eastAsiaTheme="minorHAnsi" w:hAnsi="Times New Roman" w:cs="Times New Roman"/>
            <w:bCs/>
            <w:color w:val="auto"/>
            <w:kern w:val="2"/>
            <w:sz w:val="20"/>
            <w:szCs w:val="20"/>
          </w:rPr>
          <w:t>https://doi.org/10.69889/667gf640arange</w:t>
        </w:r>
      </w:hyperlink>
    </w:p>
    <w:p w14:paraId="3125B0A9"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 Kaakandikar, D. R. (2020). Financial statement analysis of Janaseva Bank. Zenodo. </w:t>
      </w:r>
      <w:hyperlink r:id="rId40" w:history="1">
        <w:r w:rsidRPr="00E367A2">
          <w:rPr>
            <w:rFonts w:ascii="Times New Roman" w:eastAsia="Calibri" w:hAnsi="Times New Roman" w:cs="Times New Roman"/>
            <w:kern w:val="0"/>
            <w:sz w:val="20"/>
            <w:szCs w:val="20"/>
            <w:u w:val="single"/>
            <w:lang w:val="en-US"/>
            <w14:ligatures w14:val="none"/>
          </w:rPr>
          <w:t>https://doi.org/10.5281/zenodo.13675324</w:t>
        </w:r>
      </w:hyperlink>
      <w:r w:rsidRPr="00E367A2">
        <w:rPr>
          <w:rFonts w:ascii="Times New Roman" w:eastAsia="Calibri" w:hAnsi="Times New Roman" w:cs="Times New Roman"/>
          <w:kern w:val="0"/>
          <w:sz w:val="20"/>
          <w:szCs w:val="20"/>
          <w:lang w:val="en-US"/>
          <w14:ligatures w14:val="none"/>
        </w:rPr>
        <w:t xml:space="preserve"> </w:t>
      </w:r>
    </w:p>
    <w:p w14:paraId="0DF71A2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 Kaakandikar, D. R. (2020). Study of performance appraisal of employee. Zenodo. </w:t>
      </w:r>
      <w:hyperlink r:id="rId41" w:history="1">
        <w:r w:rsidRPr="00E367A2">
          <w:rPr>
            <w:rFonts w:ascii="Times New Roman" w:eastAsia="Calibri" w:hAnsi="Times New Roman" w:cs="Times New Roman"/>
            <w:kern w:val="0"/>
            <w:sz w:val="20"/>
            <w:szCs w:val="20"/>
            <w:u w:val="single"/>
            <w:lang w:val="en-US"/>
            <w14:ligatures w14:val="none"/>
          </w:rPr>
          <w:t>https://doi.org/10.5281/zenodo.13681608</w:t>
        </w:r>
      </w:hyperlink>
      <w:r w:rsidRPr="00E367A2">
        <w:rPr>
          <w:rFonts w:ascii="Times New Roman" w:eastAsia="Calibri" w:hAnsi="Times New Roman" w:cs="Times New Roman"/>
          <w:kern w:val="0"/>
          <w:sz w:val="20"/>
          <w:szCs w:val="20"/>
          <w:lang w:val="en-US"/>
          <w14:ligatures w14:val="none"/>
        </w:rPr>
        <w:t xml:space="preserve"> </w:t>
      </w:r>
    </w:p>
    <w:p w14:paraId="5BB37DC5"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3. Kaakandikar, D. R. (2020). A study of budgetary control. Zenodo. https://doi.org/10.5281/zenodo.13682208</w:t>
      </w:r>
    </w:p>
    <w:p w14:paraId="0FECD77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 Kaakandikar, D. R. (2020). A study of capital budgeting of Fountainhead Info Solutions Pvt. Ltd. Zenodo. </w:t>
      </w:r>
      <w:hyperlink r:id="rId42" w:history="1">
        <w:r w:rsidRPr="00E367A2">
          <w:rPr>
            <w:rFonts w:ascii="Times New Roman" w:eastAsia="Calibri" w:hAnsi="Times New Roman" w:cs="Times New Roman"/>
            <w:kern w:val="0"/>
            <w:sz w:val="20"/>
            <w:szCs w:val="20"/>
            <w:u w:val="single"/>
            <w:lang w:val="en-US"/>
            <w14:ligatures w14:val="none"/>
          </w:rPr>
          <w:t>https://doi.org/10.5281/zenodo.13682832</w:t>
        </w:r>
      </w:hyperlink>
      <w:r w:rsidRPr="00E367A2">
        <w:rPr>
          <w:rFonts w:ascii="Times New Roman" w:eastAsia="Calibri" w:hAnsi="Times New Roman" w:cs="Times New Roman"/>
          <w:kern w:val="0"/>
          <w:sz w:val="20"/>
          <w:szCs w:val="20"/>
          <w:lang w:val="en-US"/>
          <w14:ligatures w14:val="none"/>
        </w:rPr>
        <w:t xml:space="preserve">  </w:t>
      </w:r>
    </w:p>
    <w:p w14:paraId="0C12D576"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5. Kaakandikar, D. R. (2020). Analyzing consumer buying behaviour and preferences in the ice cream industry: Meridian Ice Cream. Zenodo. https://doi.org/10.5281/zenodo.13683490</w:t>
      </w:r>
    </w:p>
    <w:p w14:paraId="4993D28E"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6. Kaakandikar, D. R. (2020). Analyzing customer satisfaction and loyalty in the online eyewear retail industry: A focus on Lenskart. Zenodo. </w:t>
      </w:r>
      <w:hyperlink r:id="rId43" w:history="1">
        <w:r w:rsidRPr="00E367A2">
          <w:rPr>
            <w:rFonts w:ascii="Times New Roman" w:eastAsia="Calibri" w:hAnsi="Times New Roman" w:cs="Times New Roman"/>
            <w:kern w:val="0"/>
            <w:sz w:val="20"/>
            <w:szCs w:val="20"/>
            <w:u w:val="single"/>
            <w:lang w:val="en-US"/>
            <w14:ligatures w14:val="none"/>
          </w:rPr>
          <w:t>https://doi.org/10.5281/zenodo.13683509</w:t>
        </w:r>
      </w:hyperlink>
      <w:r w:rsidRPr="00E367A2">
        <w:rPr>
          <w:rFonts w:ascii="Times New Roman" w:eastAsia="Calibri" w:hAnsi="Times New Roman" w:cs="Times New Roman"/>
          <w:kern w:val="0"/>
          <w:sz w:val="20"/>
          <w:szCs w:val="20"/>
          <w:lang w:val="en-US"/>
          <w14:ligatures w14:val="none"/>
        </w:rPr>
        <w:t xml:space="preserve"> </w:t>
      </w:r>
    </w:p>
    <w:p w14:paraId="47015E63"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7. Analyzing consumer preferences and market trends in the two-wheeler industry. (2020). XXVII(5). ISSN: 0975-802X. </w:t>
      </w:r>
    </w:p>
    <w:p w14:paraId="1A8EDCC6"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8. Analyzing customer satisfaction and loyalty in the context of Wow Momo: A study of fast food preferences and experiences. (2020). XXVII(5). ISSN: 0975-802X.  </w:t>
      </w:r>
    </w:p>
    <w:p w14:paraId="75B8657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9. Kaakandikar, D. R. (2020). Consumer preferences and market dynamics in the snack food industry: A study of Haldiram products. Zenodo. </w:t>
      </w:r>
      <w:hyperlink r:id="rId44" w:history="1">
        <w:r w:rsidRPr="00E367A2">
          <w:rPr>
            <w:rFonts w:ascii="Times New Roman" w:eastAsia="Calibri" w:hAnsi="Times New Roman" w:cs="Times New Roman"/>
            <w:kern w:val="0"/>
            <w:sz w:val="20"/>
            <w:szCs w:val="20"/>
            <w:u w:val="single"/>
            <w:lang w:val="en-US"/>
            <w14:ligatures w14:val="none"/>
          </w:rPr>
          <w:t>https://doi.org/10.5281/zenodo.13683657</w:t>
        </w:r>
      </w:hyperlink>
      <w:r w:rsidRPr="00E367A2">
        <w:rPr>
          <w:rFonts w:ascii="Times New Roman" w:eastAsia="Calibri" w:hAnsi="Times New Roman" w:cs="Times New Roman"/>
          <w:kern w:val="0"/>
          <w:sz w:val="20"/>
          <w:szCs w:val="20"/>
          <w:lang w:val="en-US"/>
          <w14:ligatures w14:val="none"/>
        </w:rPr>
        <w:t xml:space="preserve"> </w:t>
      </w:r>
    </w:p>
    <w:p w14:paraId="3E19F973"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10. Kaakandikar, D. R. (2020). Performance evaluation with the help of ratio analysis. Zenodo. </w:t>
      </w:r>
      <w:hyperlink r:id="rId45" w:history="1">
        <w:r w:rsidRPr="00E367A2">
          <w:rPr>
            <w:rFonts w:ascii="Times New Roman" w:eastAsia="Calibri" w:hAnsi="Times New Roman" w:cs="Times New Roman"/>
            <w:kern w:val="0"/>
            <w:sz w:val="20"/>
            <w:szCs w:val="20"/>
            <w:u w:val="single"/>
            <w:lang w:val="en-US"/>
            <w14:ligatures w14:val="none"/>
          </w:rPr>
          <w:t>https://doi.org/10.5281/zenodo.13683692</w:t>
        </w:r>
      </w:hyperlink>
      <w:r w:rsidRPr="00E367A2">
        <w:rPr>
          <w:rFonts w:ascii="Times New Roman" w:eastAsia="Calibri" w:hAnsi="Times New Roman" w:cs="Times New Roman"/>
          <w:kern w:val="0"/>
          <w:sz w:val="20"/>
          <w:szCs w:val="20"/>
          <w:lang w:val="en-US"/>
          <w14:ligatures w14:val="none"/>
        </w:rPr>
        <w:t xml:space="preserve"> </w:t>
      </w:r>
    </w:p>
    <w:p w14:paraId="05837BA2"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lastRenderedPageBreak/>
        <w:t xml:space="preserve">11. Kaakandikar, D. R. (2020). Impact of artificial intelligence on our society. Zenodo. </w:t>
      </w:r>
      <w:hyperlink r:id="rId46" w:history="1">
        <w:r w:rsidRPr="00E367A2">
          <w:rPr>
            <w:rFonts w:ascii="Times New Roman" w:eastAsia="Calibri" w:hAnsi="Times New Roman" w:cs="Times New Roman"/>
            <w:kern w:val="0"/>
            <w:sz w:val="20"/>
            <w:szCs w:val="20"/>
            <w:u w:val="single"/>
            <w:lang w:val="en-US"/>
            <w14:ligatures w14:val="none"/>
          </w:rPr>
          <w:t>https://doi.org/10.5281/zenodo.13683725</w:t>
        </w:r>
      </w:hyperlink>
      <w:r w:rsidRPr="00E367A2">
        <w:rPr>
          <w:rFonts w:ascii="Times New Roman" w:eastAsia="Calibri" w:hAnsi="Times New Roman" w:cs="Times New Roman"/>
          <w:kern w:val="0"/>
          <w:sz w:val="20"/>
          <w:szCs w:val="20"/>
          <w:lang w:val="en-US"/>
          <w14:ligatures w14:val="none"/>
        </w:rPr>
        <w:t xml:space="preserve"> </w:t>
      </w:r>
    </w:p>
    <w:p w14:paraId="202ABAF0"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12. Kaakandikar, D. R. (2024). Non-performing assets: A comparative study of SBI &amp; HDFC Bank. Zenodo.       </w:t>
      </w:r>
      <w:hyperlink r:id="rId47" w:history="1">
        <w:r w:rsidRPr="00E367A2">
          <w:rPr>
            <w:rFonts w:ascii="Times New Roman" w:eastAsia="Calibri" w:hAnsi="Times New Roman" w:cs="Times New Roman"/>
            <w:kern w:val="0"/>
            <w:sz w:val="20"/>
            <w:szCs w:val="20"/>
            <w:u w:val="single"/>
            <w:lang w:val="en-US"/>
            <w14:ligatures w14:val="none"/>
          </w:rPr>
          <w:t>https://doi.org/10.5281/zenodo.13683746</w:t>
        </w:r>
      </w:hyperlink>
      <w:r w:rsidRPr="00E367A2">
        <w:rPr>
          <w:rFonts w:ascii="Times New Roman" w:eastAsia="Calibri" w:hAnsi="Times New Roman" w:cs="Times New Roman"/>
          <w:kern w:val="0"/>
          <w:sz w:val="20"/>
          <w:szCs w:val="20"/>
          <w:lang w:val="en-US"/>
          <w14:ligatures w14:val="none"/>
        </w:rPr>
        <w:t xml:space="preserve">  </w:t>
      </w:r>
    </w:p>
    <w:p w14:paraId="22524ECC"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13. Kaakandikar, D. R. (2020). Role of insurance in personal financial planning. Zenodo. </w:t>
      </w:r>
      <w:hyperlink r:id="rId48" w:history="1">
        <w:r w:rsidRPr="00E367A2">
          <w:rPr>
            <w:rFonts w:ascii="Times New Roman" w:eastAsia="Calibri" w:hAnsi="Times New Roman" w:cs="Times New Roman"/>
            <w:kern w:val="0"/>
            <w:sz w:val="20"/>
            <w:szCs w:val="20"/>
            <w:u w:val="single"/>
            <w:lang w:val="en-US"/>
            <w14:ligatures w14:val="none"/>
          </w:rPr>
          <w:t>https://doi.org/10.5281/zenodo.13683760</w:t>
        </w:r>
      </w:hyperlink>
      <w:r w:rsidRPr="00E367A2">
        <w:rPr>
          <w:rFonts w:ascii="Times New Roman" w:eastAsia="Calibri" w:hAnsi="Times New Roman" w:cs="Times New Roman"/>
          <w:kern w:val="0"/>
          <w:sz w:val="20"/>
          <w:szCs w:val="20"/>
          <w:lang w:val="en-US"/>
          <w14:ligatures w14:val="none"/>
        </w:rPr>
        <w:t xml:space="preserve"> </w:t>
      </w:r>
    </w:p>
    <w:p w14:paraId="4AA5B822"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14. Kaakandikar, D. R. (2020). Study of product branding with digital marketing. Zenodo. </w:t>
      </w:r>
      <w:hyperlink r:id="rId49" w:history="1">
        <w:r w:rsidRPr="00E367A2">
          <w:rPr>
            <w:rFonts w:ascii="Times New Roman" w:eastAsia="Calibri" w:hAnsi="Times New Roman" w:cs="Times New Roman"/>
            <w:kern w:val="0"/>
            <w:sz w:val="20"/>
            <w:szCs w:val="20"/>
            <w:u w:val="single"/>
            <w:lang w:val="en-US"/>
            <w14:ligatures w14:val="none"/>
          </w:rPr>
          <w:t>https://doi.org/10.5281/zenodo.13683782</w:t>
        </w:r>
      </w:hyperlink>
      <w:r w:rsidRPr="00E367A2">
        <w:rPr>
          <w:rFonts w:ascii="Times New Roman" w:eastAsia="Calibri" w:hAnsi="Times New Roman" w:cs="Times New Roman"/>
          <w:kern w:val="0"/>
          <w:sz w:val="20"/>
          <w:szCs w:val="20"/>
          <w:lang w:val="en-US"/>
          <w14:ligatures w14:val="none"/>
        </w:rPr>
        <w:t xml:space="preserve"> </w:t>
      </w:r>
    </w:p>
    <w:p w14:paraId="5295C9E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15. Kaakandikar, D. R. (2020). The study on investor's attitude towards mutual fund. Zenodo. </w:t>
      </w:r>
      <w:hyperlink r:id="rId50" w:history="1">
        <w:r w:rsidRPr="00E367A2">
          <w:rPr>
            <w:rFonts w:ascii="Times New Roman" w:eastAsia="Calibri" w:hAnsi="Times New Roman" w:cs="Times New Roman"/>
            <w:kern w:val="0"/>
            <w:sz w:val="20"/>
            <w:szCs w:val="20"/>
            <w:u w:val="single"/>
            <w:lang w:val="en-US"/>
            <w14:ligatures w14:val="none"/>
          </w:rPr>
          <w:t>https://doi.org/10.5281/zenodo.13683791</w:t>
        </w:r>
      </w:hyperlink>
      <w:r w:rsidRPr="00E367A2">
        <w:rPr>
          <w:rFonts w:ascii="Times New Roman" w:eastAsia="Calibri" w:hAnsi="Times New Roman" w:cs="Times New Roman"/>
          <w:kern w:val="0"/>
          <w:sz w:val="20"/>
          <w:szCs w:val="20"/>
          <w:lang w:val="en-US"/>
          <w14:ligatures w14:val="none"/>
        </w:rPr>
        <w:t xml:space="preserve"> </w:t>
      </w:r>
    </w:p>
    <w:p w14:paraId="576F0BFD"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16. Kaakandikar, D. R. (2020). To study the involvement of MNCs in international business. Zenodo. </w:t>
      </w:r>
      <w:hyperlink r:id="rId51" w:history="1">
        <w:r w:rsidRPr="00E367A2">
          <w:rPr>
            <w:rFonts w:ascii="Times New Roman" w:eastAsia="Calibri" w:hAnsi="Times New Roman" w:cs="Times New Roman"/>
            <w:kern w:val="0"/>
            <w:sz w:val="20"/>
            <w:szCs w:val="20"/>
            <w:u w:val="single"/>
            <w:lang w:val="en-US"/>
            <w14:ligatures w14:val="none"/>
          </w:rPr>
          <w:t>https://doi.org/10.5281/zenodo.13683814</w:t>
        </w:r>
      </w:hyperlink>
      <w:r w:rsidRPr="00E367A2">
        <w:rPr>
          <w:rFonts w:ascii="Times New Roman" w:eastAsia="Calibri" w:hAnsi="Times New Roman" w:cs="Times New Roman"/>
          <w:kern w:val="0"/>
          <w:sz w:val="20"/>
          <w:szCs w:val="20"/>
          <w:lang w:val="en-US"/>
          <w14:ligatures w14:val="none"/>
        </w:rPr>
        <w:t xml:space="preserve"> </w:t>
      </w:r>
    </w:p>
    <w:p w14:paraId="5A2BD2C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17. Kaakandikar, D. R. (2020). Working capital management at Suzlon Energy Ltd. Pune. Zenodo. </w:t>
      </w:r>
      <w:hyperlink r:id="rId52" w:history="1">
        <w:r w:rsidRPr="00E367A2">
          <w:rPr>
            <w:rFonts w:ascii="Times New Roman" w:eastAsia="Calibri" w:hAnsi="Times New Roman" w:cs="Times New Roman"/>
            <w:kern w:val="0"/>
            <w:sz w:val="20"/>
            <w:szCs w:val="20"/>
            <w:u w:val="single"/>
            <w:lang w:val="en-US"/>
            <w14:ligatures w14:val="none"/>
          </w:rPr>
          <w:t>https://doi.org/10.5281/zenodo.13683847</w:t>
        </w:r>
      </w:hyperlink>
      <w:r w:rsidRPr="00E367A2">
        <w:rPr>
          <w:rFonts w:ascii="Times New Roman" w:eastAsia="Calibri" w:hAnsi="Times New Roman" w:cs="Times New Roman"/>
          <w:kern w:val="0"/>
          <w:sz w:val="20"/>
          <w:szCs w:val="20"/>
          <w:lang w:val="en-US"/>
          <w14:ligatures w14:val="none"/>
        </w:rPr>
        <w:t xml:space="preserve"> </w:t>
      </w:r>
    </w:p>
    <w:p w14:paraId="5E4235BF"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18. Kaakandikar, D. R. (2020). A comprehensive analysis of Goods and Services Tax (GST) in India. Zenodo. </w:t>
      </w:r>
      <w:hyperlink r:id="rId53" w:history="1">
        <w:r w:rsidRPr="00E367A2">
          <w:rPr>
            <w:rFonts w:ascii="Times New Roman" w:eastAsia="Calibri" w:hAnsi="Times New Roman" w:cs="Times New Roman"/>
            <w:kern w:val="0"/>
            <w:sz w:val="20"/>
            <w:szCs w:val="20"/>
            <w:u w:val="single"/>
            <w:lang w:val="en-US"/>
            <w14:ligatures w14:val="none"/>
          </w:rPr>
          <w:t>https://doi.org/10.5281/zenodo.13683861</w:t>
        </w:r>
      </w:hyperlink>
      <w:r w:rsidRPr="00E367A2">
        <w:rPr>
          <w:rFonts w:ascii="Times New Roman" w:eastAsia="Calibri" w:hAnsi="Times New Roman" w:cs="Times New Roman"/>
          <w:kern w:val="0"/>
          <w:sz w:val="20"/>
          <w:szCs w:val="20"/>
          <w:lang w:val="en-US"/>
          <w14:ligatures w14:val="none"/>
        </w:rPr>
        <w:t xml:space="preserve"> </w:t>
      </w:r>
    </w:p>
    <w:p w14:paraId="2D14BA3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19. Kaakandikar, D. R. (2020). A project report on activity-based costing as a measure of improving the cost structure in Jay Laxmi Food Processing Pvt. Ltd. Zenodo. </w:t>
      </w:r>
      <w:hyperlink r:id="rId54" w:history="1">
        <w:r w:rsidRPr="00E367A2">
          <w:rPr>
            <w:rFonts w:ascii="Times New Roman" w:eastAsia="Calibri" w:hAnsi="Times New Roman" w:cs="Times New Roman"/>
            <w:kern w:val="0"/>
            <w:sz w:val="20"/>
            <w:szCs w:val="20"/>
            <w:u w:val="single"/>
            <w:lang w:val="en-US"/>
            <w14:ligatures w14:val="none"/>
          </w:rPr>
          <w:t>https://doi.org/10.5281/zenodo.13683872</w:t>
        </w:r>
      </w:hyperlink>
      <w:r w:rsidRPr="00E367A2">
        <w:rPr>
          <w:rFonts w:ascii="Times New Roman" w:eastAsia="Calibri" w:hAnsi="Times New Roman" w:cs="Times New Roman"/>
          <w:kern w:val="0"/>
          <w:sz w:val="20"/>
          <w:szCs w:val="20"/>
          <w:lang w:val="en-US"/>
          <w14:ligatures w14:val="none"/>
        </w:rPr>
        <w:t xml:space="preserve"> </w:t>
      </w:r>
    </w:p>
    <w:p w14:paraId="0F3914BF"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20. Kaakandikar, D. R. (2020). A study of instrument used in trade finance at Suzlon Energy Ltd. Pune. Zenodo. </w:t>
      </w:r>
      <w:hyperlink r:id="rId55" w:history="1">
        <w:r w:rsidRPr="00E367A2">
          <w:rPr>
            <w:rFonts w:ascii="Times New Roman" w:eastAsia="Calibri" w:hAnsi="Times New Roman" w:cs="Times New Roman"/>
            <w:kern w:val="0"/>
            <w:sz w:val="20"/>
            <w:szCs w:val="20"/>
            <w:u w:val="single"/>
            <w:lang w:val="en-US"/>
            <w14:ligatures w14:val="none"/>
          </w:rPr>
          <w:t>https://doi.org/10.5281/zenodo.13683889</w:t>
        </w:r>
      </w:hyperlink>
      <w:r w:rsidRPr="00E367A2">
        <w:rPr>
          <w:rFonts w:ascii="Times New Roman" w:eastAsia="Calibri" w:hAnsi="Times New Roman" w:cs="Times New Roman"/>
          <w:kern w:val="0"/>
          <w:sz w:val="20"/>
          <w:szCs w:val="20"/>
          <w:lang w:val="en-US"/>
          <w14:ligatures w14:val="none"/>
        </w:rPr>
        <w:t xml:space="preserve"> </w:t>
      </w:r>
    </w:p>
    <w:p w14:paraId="1BDD966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21. Kaakandikar, D. R. (2020). A study on credit risk management. Zenodo. </w:t>
      </w:r>
      <w:hyperlink r:id="rId56" w:history="1">
        <w:r w:rsidRPr="00E367A2">
          <w:rPr>
            <w:rFonts w:ascii="Times New Roman" w:eastAsia="Calibri" w:hAnsi="Times New Roman" w:cs="Times New Roman"/>
            <w:kern w:val="0"/>
            <w:sz w:val="20"/>
            <w:szCs w:val="20"/>
            <w:u w:val="single"/>
            <w:lang w:val="en-US"/>
            <w14:ligatures w14:val="none"/>
          </w:rPr>
          <w:t>https://doi.org/10.5281/zenodo.13683981</w:t>
        </w:r>
      </w:hyperlink>
      <w:r w:rsidRPr="00E367A2">
        <w:rPr>
          <w:rFonts w:ascii="Times New Roman" w:eastAsia="Calibri" w:hAnsi="Times New Roman" w:cs="Times New Roman"/>
          <w:kern w:val="0"/>
          <w:sz w:val="20"/>
          <w:szCs w:val="20"/>
          <w:lang w:val="en-US"/>
          <w14:ligatures w14:val="none"/>
        </w:rPr>
        <w:t xml:space="preserve"> </w:t>
      </w:r>
    </w:p>
    <w:p w14:paraId="1EE02EBC"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22. Kaakandikar, D. R. (2020). A study on financial analysis of Maruti Suzuki India Limited Company. Zenodo. </w:t>
      </w:r>
      <w:hyperlink r:id="rId57" w:history="1">
        <w:r w:rsidRPr="00E367A2">
          <w:rPr>
            <w:rFonts w:ascii="Times New Roman" w:eastAsia="Calibri" w:hAnsi="Times New Roman" w:cs="Times New Roman"/>
            <w:kern w:val="0"/>
            <w:sz w:val="20"/>
            <w:szCs w:val="20"/>
            <w:u w:val="single"/>
            <w:lang w:val="en-US"/>
            <w14:ligatures w14:val="none"/>
          </w:rPr>
          <w:t>https://doi.org/10.5281/zenodo.13684029</w:t>
        </w:r>
      </w:hyperlink>
      <w:r w:rsidRPr="00E367A2">
        <w:rPr>
          <w:rFonts w:ascii="Times New Roman" w:eastAsia="Calibri" w:hAnsi="Times New Roman" w:cs="Times New Roman"/>
          <w:kern w:val="0"/>
          <w:sz w:val="20"/>
          <w:szCs w:val="20"/>
          <w:lang w:val="en-US"/>
          <w14:ligatures w14:val="none"/>
        </w:rPr>
        <w:t xml:space="preserve"> </w:t>
      </w:r>
    </w:p>
    <w:p w14:paraId="196DAE0D"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23. Kaakandikar, D. R. (2020). A study on job satisfaction of employees in an organization. Zenodo. </w:t>
      </w:r>
      <w:hyperlink r:id="rId58" w:history="1">
        <w:r w:rsidRPr="00E367A2">
          <w:rPr>
            <w:rFonts w:ascii="Times New Roman" w:eastAsia="Calibri" w:hAnsi="Times New Roman" w:cs="Times New Roman"/>
            <w:kern w:val="0"/>
            <w:sz w:val="20"/>
            <w:szCs w:val="20"/>
            <w:u w:val="single"/>
            <w:lang w:val="en-US"/>
            <w14:ligatures w14:val="none"/>
          </w:rPr>
          <w:t>https://doi.org/10.5281/zenodo.13684074</w:t>
        </w:r>
      </w:hyperlink>
      <w:r w:rsidRPr="00E367A2">
        <w:rPr>
          <w:rFonts w:ascii="Times New Roman" w:eastAsia="Calibri" w:hAnsi="Times New Roman" w:cs="Times New Roman"/>
          <w:kern w:val="0"/>
          <w:sz w:val="20"/>
          <w:szCs w:val="20"/>
          <w:lang w:val="en-US"/>
          <w14:ligatures w14:val="none"/>
        </w:rPr>
        <w:t xml:space="preserve"> </w:t>
      </w:r>
    </w:p>
    <w:p w14:paraId="1FBAF4B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24. Kaakandikar, D. R. (2020). A study on working capital management with ratio analysis of Span Pump Pvt. Ltd. Zenodo. </w:t>
      </w:r>
      <w:hyperlink r:id="rId59" w:history="1">
        <w:r w:rsidRPr="00E367A2">
          <w:rPr>
            <w:rFonts w:ascii="Times New Roman" w:eastAsia="Calibri" w:hAnsi="Times New Roman" w:cs="Times New Roman"/>
            <w:kern w:val="0"/>
            <w:sz w:val="20"/>
            <w:szCs w:val="20"/>
            <w:u w:val="single"/>
            <w:lang w:val="en-US"/>
            <w14:ligatures w14:val="none"/>
          </w:rPr>
          <w:t>https://doi.org/10.5281/zenodo.13684096</w:t>
        </w:r>
      </w:hyperlink>
      <w:r w:rsidRPr="00E367A2">
        <w:rPr>
          <w:rFonts w:ascii="Times New Roman" w:eastAsia="Calibri" w:hAnsi="Times New Roman" w:cs="Times New Roman"/>
          <w:kern w:val="0"/>
          <w:sz w:val="20"/>
          <w:szCs w:val="20"/>
          <w:lang w:val="en-US"/>
          <w14:ligatures w14:val="none"/>
        </w:rPr>
        <w:t xml:space="preserve"> </w:t>
      </w:r>
    </w:p>
    <w:p w14:paraId="624A57E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25. Kaakandikar, D. R. (2020). Credit appraisal of home loan finance. Zenodo. </w:t>
      </w:r>
      <w:hyperlink r:id="rId60" w:history="1">
        <w:r w:rsidRPr="00E367A2">
          <w:rPr>
            <w:rFonts w:ascii="Times New Roman" w:eastAsia="Calibri" w:hAnsi="Times New Roman" w:cs="Times New Roman"/>
            <w:kern w:val="0"/>
            <w:sz w:val="20"/>
            <w:szCs w:val="20"/>
            <w:u w:val="single"/>
            <w:lang w:val="en-US"/>
            <w14:ligatures w14:val="none"/>
          </w:rPr>
          <w:t>https://doi.org/10.5281/zenodo.13684121</w:t>
        </w:r>
      </w:hyperlink>
      <w:r w:rsidRPr="00E367A2">
        <w:rPr>
          <w:rFonts w:ascii="Times New Roman" w:eastAsia="Calibri" w:hAnsi="Times New Roman" w:cs="Times New Roman"/>
          <w:kern w:val="0"/>
          <w:sz w:val="20"/>
          <w:szCs w:val="20"/>
          <w:lang w:val="en-US"/>
          <w14:ligatures w14:val="none"/>
        </w:rPr>
        <w:t xml:space="preserve"> </w:t>
      </w:r>
    </w:p>
    <w:p w14:paraId="591B5A2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26. Kaakandikar, D. R. (2020). Financial health analysis with the help of different metrics. Zenodo. </w:t>
      </w:r>
      <w:hyperlink r:id="rId61" w:history="1">
        <w:r w:rsidRPr="00E367A2">
          <w:rPr>
            <w:rFonts w:ascii="Times New Roman" w:eastAsia="Calibri" w:hAnsi="Times New Roman" w:cs="Times New Roman"/>
            <w:kern w:val="0"/>
            <w:sz w:val="20"/>
            <w:szCs w:val="20"/>
            <w:u w:val="single"/>
            <w:lang w:val="en-US"/>
            <w14:ligatures w14:val="none"/>
          </w:rPr>
          <w:t>https://doi.org/10.5281/zenodo.13684144</w:t>
        </w:r>
      </w:hyperlink>
      <w:r w:rsidRPr="00E367A2">
        <w:rPr>
          <w:rFonts w:ascii="Times New Roman" w:eastAsia="Calibri" w:hAnsi="Times New Roman" w:cs="Times New Roman"/>
          <w:kern w:val="0"/>
          <w:sz w:val="20"/>
          <w:szCs w:val="20"/>
          <w:lang w:val="en-US"/>
          <w14:ligatures w14:val="none"/>
        </w:rPr>
        <w:t xml:space="preserve"> </w:t>
      </w:r>
    </w:p>
    <w:p w14:paraId="095ED2E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27. Kaakandikar, D. R. (2020). Importance of training staff in the modern workplace era. Zenodo. </w:t>
      </w:r>
      <w:hyperlink r:id="rId62" w:history="1">
        <w:r w:rsidRPr="00E367A2">
          <w:rPr>
            <w:rFonts w:ascii="Times New Roman" w:eastAsia="Calibri" w:hAnsi="Times New Roman" w:cs="Times New Roman"/>
            <w:kern w:val="0"/>
            <w:sz w:val="20"/>
            <w:szCs w:val="20"/>
            <w:u w:val="single"/>
            <w:lang w:val="en-US"/>
            <w14:ligatures w14:val="none"/>
          </w:rPr>
          <w:t>https://doi.org/10.5281/zenodo.13684198</w:t>
        </w:r>
      </w:hyperlink>
      <w:r w:rsidRPr="00E367A2">
        <w:rPr>
          <w:rFonts w:ascii="Times New Roman" w:eastAsia="Calibri" w:hAnsi="Times New Roman" w:cs="Times New Roman"/>
          <w:kern w:val="0"/>
          <w:sz w:val="20"/>
          <w:szCs w:val="20"/>
          <w:lang w:val="en-US"/>
          <w14:ligatures w14:val="none"/>
        </w:rPr>
        <w:t xml:space="preserve"> </w:t>
      </w:r>
    </w:p>
    <w:p w14:paraId="15CDB300"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28. Kaakandikar, D. R. (2020). Study of news website for mortgage industries. Zenodo. </w:t>
      </w:r>
      <w:hyperlink r:id="rId63" w:history="1">
        <w:r w:rsidRPr="00E367A2">
          <w:rPr>
            <w:rFonts w:ascii="Times New Roman" w:eastAsia="Calibri" w:hAnsi="Times New Roman" w:cs="Times New Roman"/>
            <w:kern w:val="0"/>
            <w:sz w:val="20"/>
            <w:szCs w:val="20"/>
            <w:u w:val="single"/>
            <w:lang w:val="en-US"/>
            <w14:ligatures w14:val="none"/>
          </w:rPr>
          <w:t>https://doi.org/10.5281/zenodo.13684217</w:t>
        </w:r>
      </w:hyperlink>
      <w:r w:rsidRPr="00E367A2">
        <w:rPr>
          <w:rFonts w:ascii="Times New Roman" w:eastAsia="Calibri" w:hAnsi="Times New Roman" w:cs="Times New Roman"/>
          <w:kern w:val="0"/>
          <w:sz w:val="20"/>
          <w:szCs w:val="20"/>
          <w:lang w:val="en-US"/>
          <w14:ligatures w14:val="none"/>
        </w:rPr>
        <w:t xml:space="preserve">  </w:t>
      </w:r>
    </w:p>
    <w:p w14:paraId="0F58BAA1"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29. Kaakandikar, D. R. (2020). Study of performance appraisal system at Ieinfosoft, Pune. Zenodo. </w:t>
      </w:r>
      <w:hyperlink r:id="rId64" w:history="1">
        <w:r w:rsidRPr="00E367A2">
          <w:rPr>
            <w:rFonts w:ascii="Times New Roman" w:eastAsia="Calibri" w:hAnsi="Times New Roman" w:cs="Times New Roman"/>
            <w:kern w:val="0"/>
            <w:sz w:val="20"/>
            <w:szCs w:val="20"/>
            <w:u w:val="single"/>
            <w:lang w:val="en-US"/>
            <w14:ligatures w14:val="none"/>
          </w:rPr>
          <w:t>https://doi.org/10.5281/zenodo.13684245</w:t>
        </w:r>
      </w:hyperlink>
      <w:r w:rsidRPr="00E367A2">
        <w:rPr>
          <w:rFonts w:ascii="Times New Roman" w:eastAsia="Calibri" w:hAnsi="Times New Roman" w:cs="Times New Roman"/>
          <w:kern w:val="0"/>
          <w:sz w:val="20"/>
          <w:szCs w:val="20"/>
          <w:lang w:val="en-US"/>
          <w14:ligatures w14:val="none"/>
        </w:rPr>
        <w:t xml:space="preserve"> </w:t>
      </w:r>
    </w:p>
    <w:p w14:paraId="59FC6BBB"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30. Kaakandikar, D. R. (2020). Study of tax planning of individual assessee and HUF. Zenodo. </w:t>
      </w:r>
      <w:hyperlink r:id="rId65" w:history="1">
        <w:r w:rsidRPr="00E367A2">
          <w:rPr>
            <w:rFonts w:ascii="Times New Roman" w:eastAsia="Calibri" w:hAnsi="Times New Roman" w:cs="Times New Roman"/>
            <w:kern w:val="0"/>
            <w:sz w:val="20"/>
            <w:szCs w:val="20"/>
            <w:u w:val="single"/>
            <w:lang w:val="en-US"/>
            <w14:ligatures w14:val="none"/>
          </w:rPr>
          <w:t>https://doi.org/10.5281/zenodo.13684264</w:t>
        </w:r>
      </w:hyperlink>
    </w:p>
    <w:p w14:paraId="43BDDC72"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31. Kaakandikar, D. R. (2020). The study of SEO for organic branding of SMEs. Zenodo. </w:t>
      </w:r>
      <w:hyperlink r:id="rId66" w:history="1">
        <w:r w:rsidRPr="00E367A2">
          <w:rPr>
            <w:rFonts w:ascii="Times New Roman" w:eastAsia="Calibri" w:hAnsi="Times New Roman" w:cs="Times New Roman"/>
            <w:kern w:val="0"/>
            <w:sz w:val="20"/>
            <w:szCs w:val="20"/>
            <w:u w:val="single"/>
            <w:lang w:val="en-US"/>
            <w14:ligatures w14:val="none"/>
          </w:rPr>
          <w:t>https://doi.org/10.5281/zenodo.13684275</w:t>
        </w:r>
      </w:hyperlink>
    </w:p>
    <w:p w14:paraId="65BED063"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32. Kaakandikar, D. R. (2020). To study the challenges and opportunities of India's increased participation in the global economy. Zenodo. </w:t>
      </w:r>
      <w:hyperlink r:id="rId67" w:history="1">
        <w:r w:rsidRPr="00E367A2">
          <w:rPr>
            <w:rFonts w:ascii="Times New Roman" w:eastAsia="Calibri" w:hAnsi="Times New Roman" w:cs="Times New Roman"/>
            <w:kern w:val="0"/>
            <w:sz w:val="20"/>
            <w:szCs w:val="20"/>
            <w:u w:val="single"/>
            <w:lang w:val="en-US"/>
            <w14:ligatures w14:val="none"/>
          </w:rPr>
          <w:t>https://doi.org/10.5281/zenodo.13684308</w:t>
        </w:r>
      </w:hyperlink>
    </w:p>
    <w:p w14:paraId="644D5109"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33. Kaakandikar, D. R. (2020). To study the financial position of Maruti Suzuki India Ltd. using ratio analysis. Zenodo. </w:t>
      </w:r>
      <w:hyperlink r:id="rId68" w:history="1">
        <w:r w:rsidRPr="00E367A2">
          <w:rPr>
            <w:rFonts w:ascii="Times New Roman" w:eastAsia="Calibri" w:hAnsi="Times New Roman" w:cs="Times New Roman"/>
            <w:kern w:val="0"/>
            <w:sz w:val="20"/>
            <w:szCs w:val="20"/>
            <w:u w:val="single"/>
            <w:lang w:val="en-US"/>
            <w14:ligatures w14:val="none"/>
          </w:rPr>
          <w:t>https://doi.org/10.5281/zenodo.13684331</w:t>
        </w:r>
      </w:hyperlink>
    </w:p>
    <w:p w14:paraId="052AB5C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34. Kaakandikar, D. R. (2020). To study the import–export procedure and documentation with reference to Thermax Limited. Zenodo. </w:t>
      </w:r>
      <w:hyperlink r:id="rId69" w:history="1">
        <w:r w:rsidRPr="00E367A2">
          <w:rPr>
            <w:rFonts w:ascii="Times New Roman" w:eastAsia="Calibri" w:hAnsi="Times New Roman" w:cs="Times New Roman"/>
            <w:kern w:val="0"/>
            <w:sz w:val="20"/>
            <w:szCs w:val="20"/>
            <w:u w:val="single"/>
            <w:lang w:val="en-US"/>
            <w14:ligatures w14:val="none"/>
          </w:rPr>
          <w:t>https://doi.org/10.5281/zenodo.13684360</w:t>
        </w:r>
      </w:hyperlink>
    </w:p>
    <w:p w14:paraId="528BDE7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lastRenderedPageBreak/>
        <w:t xml:space="preserve">35. Kaakandikar, D. R. (2020). A comparative study of e-banking: Kotak and ICICI Bank. Zenodo. </w:t>
      </w:r>
      <w:hyperlink r:id="rId70" w:history="1">
        <w:r w:rsidRPr="00E367A2">
          <w:rPr>
            <w:rFonts w:ascii="Times New Roman" w:eastAsia="Calibri" w:hAnsi="Times New Roman" w:cs="Times New Roman"/>
            <w:kern w:val="0"/>
            <w:sz w:val="20"/>
            <w:szCs w:val="20"/>
            <w:u w:val="single"/>
            <w:lang w:val="en-US"/>
            <w14:ligatures w14:val="none"/>
          </w:rPr>
          <w:t>https://doi.org/10.5281/zenodo.13684386</w:t>
        </w:r>
      </w:hyperlink>
    </w:p>
    <w:p w14:paraId="5AE27942"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36. Espinoza, M. C., Ganatra, V., Prasanth, K., Sinha, R., Montañez, C. E. O., Sunil, K. M., &amp; Kaakandikar, R. (2021). Consumer behavior analysis on online and offline shopping during pandemic situation. International Journal of Accounting &amp; Finance in Asia Pacific, 4(3), 75–87. </w:t>
      </w:r>
      <w:hyperlink r:id="rId71" w:history="1">
        <w:r w:rsidRPr="00E367A2">
          <w:rPr>
            <w:rFonts w:ascii="Times New Roman" w:eastAsia="Calibri" w:hAnsi="Times New Roman" w:cs="Times New Roman"/>
            <w:kern w:val="0"/>
            <w:sz w:val="20"/>
            <w:szCs w:val="20"/>
            <w:u w:val="single"/>
            <w:lang w:val="en-US"/>
            <w14:ligatures w14:val="none"/>
          </w:rPr>
          <w:t>https://doi.org/10.32535/ijafap.v4i3.1208</w:t>
        </w:r>
      </w:hyperlink>
    </w:p>
    <w:p w14:paraId="2B9F6B33"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37. Sinha, R., Nair, R. K., Naik, V., Ganatra, V., Singri, P., Singh, P., Kamble, A. R., Kaakandikar, R., KJ, S., &amp; Modawal, I. (2020). New norm in consumer buying pattern: Online shopping swing amid the Coronavirus pandemic. </w:t>
      </w:r>
    </w:p>
    <w:p w14:paraId="1DE046E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38. Espinoza, M. C., Nair, R. K., Mulani, R., Kaakandikar, R., Quispe, A., &amp; Riva, F. (2021). The effects of COVID-19 pandemic on tourism sector. International Journal of Tourism and Hospitality in Asia Pacific, 4(3), 115–121. </w:t>
      </w:r>
      <w:hyperlink r:id="rId72" w:history="1">
        <w:r w:rsidRPr="00E367A2">
          <w:rPr>
            <w:rFonts w:ascii="Times New Roman" w:eastAsia="Calibri" w:hAnsi="Times New Roman" w:cs="Times New Roman"/>
            <w:kern w:val="0"/>
            <w:sz w:val="20"/>
            <w:szCs w:val="20"/>
            <w:u w:val="single"/>
            <w:lang w:val="en-US"/>
            <w14:ligatures w14:val="none"/>
          </w:rPr>
          <w:t>https://doi.org/10.32535/ijthap.v4i3.1213</w:t>
        </w:r>
      </w:hyperlink>
      <w:r w:rsidRPr="00E367A2">
        <w:rPr>
          <w:rFonts w:ascii="Times New Roman" w:eastAsia="Calibri" w:hAnsi="Times New Roman" w:cs="Times New Roman"/>
          <w:kern w:val="0"/>
          <w:sz w:val="20"/>
          <w:szCs w:val="20"/>
          <w:lang w:val="en-US"/>
          <w14:ligatures w14:val="none"/>
        </w:rPr>
        <w:t xml:space="preserve">   </w:t>
      </w:r>
    </w:p>
    <w:p w14:paraId="400C579E"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39. Ganatra, V., Kaakandikar, R., Izzuddin, M., Kee, D. M. H., Zainuddin, N. B., Bukhari, M. A. Z., Nurhakim, M. A., &amp; Panwar, V. (2021). The impact of food delivery apps on customer perceived value among university students. Journal of the Community Development in Asia, 4(3), 68–78. </w:t>
      </w:r>
      <w:hyperlink r:id="rId73" w:history="1">
        <w:r w:rsidRPr="00E367A2">
          <w:rPr>
            <w:rFonts w:ascii="Times New Roman" w:eastAsia="Calibri" w:hAnsi="Times New Roman" w:cs="Times New Roman"/>
            <w:kern w:val="0"/>
            <w:sz w:val="20"/>
            <w:szCs w:val="20"/>
            <w:u w:val="single"/>
            <w:lang w:val="en-US"/>
            <w14:ligatures w14:val="none"/>
          </w:rPr>
          <w:t>https://doi.org/10.32535/jcda.v4i3.1182</w:t>
        </w:r>
      </w:hyperlink>
      <w:r w:rsidRPr="00E367A2">
        <w:rPr>
          <w:rFonts w:ascii="Times New Roman" w:eastAsia="Calibri" w:hAnsi="Times New Roman" w:cs="Times New Roman"/>
          <w:kern w:val="0"/>
          <w:sz w:val="20"/>
          <w:szCs w:val="20"/>
          <w:lang w:val="en-US"/>
          <w14:ligatures w14:val="none"/>
        </w:rPr>
        <w:t xml:space="preserve">   </w:t>
      </w:r>
    </w:p>
    <w:p w14:paraId="348A2A7B"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40. G, L. S. (2017). A performance analysis of select public and private mutual funds. [Doctoral dissertation, SRTMUN]. </w:t>
      </w:r>
      <w:hyperlink r:id="rId74" w:history="1">
        <w:r w:rsidRPr="00E367A2">
          <w:rPr>
            <w:rFonts w:ascii="Times New Roman" w:eastAsia="Calibri" w:hAnsi="Times New Roman" w:cs="Times New Roman"/>
            <w:kern w:val="0"/>
            <w:sz w:val="20"/>
            <w:szCs w:val="20"/>
            <w:u w:val="single"/>
            <w:lang w:val="en-US"/>
            <w14:ligatures w14:val="none"/>
          </w:rPr>
          <w:t>http://hdl.handle.net/10603/194579</w:t>
        </w:r>
      </w:hyperlink>
      <w:r w:rsidRPr="00E367A2">
        <w:rPr>
          <w:rFonts w:ascii="Times New Roman" w:eastAsia="Calibri" w:hAnsi="Times New Roman" w:cs="Times New Roman"/>
          <w:kern w:val="0"/>
          <w:sz w:val="20"/>
          <w:szCs w:val="20"/>
          <w:lang w:val="en-US"/>
          <w14:ligatures w14:val="none"/>
        </w:rPr>
        <w:t xml:space="preserve">   </w:t>
      </w:r>
    </w:p>
    <w:p w14:paraId="338C819B"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41. A study on the customer level of satisfaction towards Café Coffee Day product and service in Pune City. (2023, March 14). </w:t>
      </w:r>
      <w:hyperlink r:id="rId75" w:history="1">
        <w:r w:rsidRPr="00E367A2">
          <w:rPr>
            <w:rFonts w:ascii="Times New Roman" w:eastAsia="Calibri" w:hAnsi="Times New Roman" w:cs="Times New Roman"/>
            <w:kern w:val="0"/>
            <w:sz w:val="20"/>
            <w:szCs w:val="20"/>
            <w:u w:val="single"/>
            <w:lang w:val="en-US"/>
            <w14:ligatures w14:val="none"/>
          </w:rPr>
          <w:t>https://journals.kozminski.cem-j.org/index.php/pl_cemj/article/view/617</w:t>
        </w:r>
      </w:hyperlink>
      <w:r w:rsidRPr="00E367A2">
        <w:rPr>
          <w:rFonts w:ascii="Times New Roman" w:eastAsia="Calibri" w:hAnsi="Times New Roman" w:cs="Times New Roman"/>
          <w:kern w:val="0"/>
          <w:sz w:val="20"/>
          <w:szCs w:val="20"/>
          <w:lang w:val="en-US"/>
          <w14:ligatures w14:val="none"/>
        </w:rPr>
        <w:t xml:space="preserve">   </w:t>
      </w:r>
    </w:p>
    <w:p w14:paraId="3054F7BE"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42. Shamout, M. D., Sivaprasad, R., Ramya, N., Pande, S., Kaakandikar, R., &amp; Fahlevi, M. (2022). Optical flow-based tracking of vehicles using adaptive particle filter target tracking algorithm for accident prevention. In 2022 International Conference on Automation, Computing and </w:t>
      </w:r>
      <w:r w:rsidRPr="00E367A2">
        <w:rPr>
          <w:rFonts w:ascii="Times New Roman" w:eastAsia="Calibri" w:hAnsi="Times New Roman" w:cs="Times New Roman"/>
          <w:kern w:val="0"/>
          <w:sz w:val="20"/>
          <w:szCs w:val="20"/>
          <w:lang w:val="en-US"/>
          <w14:ligatures w14:val="none"/>
        </w:rPr>
        <w:t xml:space="preserve">Renewable Systems (ICACRS) (pp. 1-5). IEEE. </w:t>
      </w:r>
      <w:hyperlink r:id="rId76" w:history="1">
        <w:r w:rsidRPr="00E367A2">
          <w:rPr>
            <w:rFonts w:ascii="Times New Roman" w:eastAsia="Calibri" w:hAnsi="Times New Roman" w:cs="Times New Roman"/>
            <w:kern w:val="0"/>
            <w:sz w:val="20"/>
            <w:szCs w:val="20"/>
            <w:u w:val="single"/>
            <w:lang w:val="en-US"/>
            <w14:ligatures w14:val="none"/>
          </w:rPr>
          <w:t>https://doi.org/10.1109/icacrs55517.2022.10029204</w:t>
        </w:r>
      </w:hyperlink>
      <w:r w:rsidRPr="00E367A2">
        <w:rPr>
          <w:rFonts w:ascii="Times New Roman" w:eastAsia="Calibri" w:hAnsi="Times New Roman" w:cs="Times New Roman"/>
          <w:kern w:val="0"/>
          <w:sz w:val="20"/>
          <w:szCs w:val="20"/>
          <w:lang w:val="en-US"/>
          <w14:ligatures w14:val="none"/>
        </w:rPr>
        <w:t xml:space="preserve">    </w:t>
      </w:r>
    </w:p>
    <w:p w14:paraId="46B10519"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43. Kaakandikar, R., &amp; Rangade, A. (2019, November 9). A study on job satisfaction of employees in an organization. Think India Journal - Vichar Nyas Foundation. </w:t>
      </w:r>
      <w:hyperlink r:id="rId77" w:history="1">
        <w:r w:rsidRPr="00E367A2">
          <w:rPr>
            <w:rFonts w:ascii="Times New Roman" w:eastAsia="Calibri" w:hAnsi="Times New Roman" w:cs="Times New Roman"/>
            <w:kern w:val="0"/>
            <w:sz w:val="20"/>
            <w:szCs w:val="20"/>
            <w:u w:val="single"/>
            <w:lang w:val="en-US"/>
            <w14:ligatures w14:val="none"/>
          </w:rPr>
          <w:t>https://thinkindiaquarterly.org/index.php/think-india/article/view/10355</w:t>
        </w:r>
      </w:hyperlink>
      <w:r w:rsidRPr="00E367A2">
        <w:rPr>
          <w:rFonts w:ascii="Times New Roman" w:eastAsia="Calibri" w:hAnsi="Times New Roman" w:cs="Times New Roman"/>
          <w:kern w:val="0"/>
          <w:sz w:val="20"/>
          <w:szCs w:val="20"/>
          <w:lang w:val="en-US"/>
          <w14:ligatures w14:val="none"/>
        </w:rPr>
        <w:t xml:space="preserve">   </w:t>
      </w:r>
    </w:p>
    <w:p w14:paraId="101D5817"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44. Kaakandikar, D. R. (2024). Beyond reach: micro-influencers vs. celebrities - A comparative analysis of engagement and brand sentiment in influencer marketing. In Beyond reach: micro-influencers vs. celebrities - A comparative analysis of engagement and brand sentiment in influencer marketing (Vol. 21, No. 6). Zenodo. </w:t>
      </w:r>
      <w:hyperlink r:id="rId78" w:history="1">
        <w:r w:rsidRPr="00E367A2">
          <w:rPr>
            <w:rFonts w:ascii="Times New Roman" w:eastAsia="Calibri" w:hAnsi="Times New Roman" w:cs="Times New Roman"/>
            <w:kern w:val="0"/>
            <w:sz w:val="20"/>
            <w:szCs w:val="20"/>
            <w:u w:val="single"/>
            <w:lang w:val="en-US"/>
            <w14:ligatures w14:val="none"/>
          </w:rPr>
          <w:t>https://doi.org/10.5281/zenodo.13705742</w:t>
        </w:r>
      </w:hyperlink>
      <w:r w:rsidRPr="00E367A2">
        <w:rPr>
          <w:rFonts w:ascii="Times New Roman" w:eastAsia="Calibri" w:hAnsi="Times New Roman" w:cs="Times New Roman"/>
          <w:kern w:val="0"/>
          <w:sz w:val="20"/>
          <w:szCs w:val="20"/>
          <w:lang w:val="en-US"/>
          <w14:ligatures w14:val="none"/>
        </w:rPr>
        <w:t xml:space="preserve">   </w:t>
      </w:r>
    </w:p>
    <w:p w14:paraId="50C9332F"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45. Kaakandikar, R. (2022, November 1). A study of awareness and behavior towards equity and derivative market. Social Science Research Network (SSRN). </w:t>
      </w:r>
      <w:hyperlink r:id="rId79" w:history="1">
        <w:r w:rsidRPr="00E367A2">
          <w:rPr>
            <w:rFonts w:ascii="Times New Roman" w:eastAsia="Calibri" w:hAnsi="Times New Roman" w:cs="Times New Roman"/>
            <w:kern w:val="0"/>
            <w:sz w:val="20"/>
            <w:szCs w:val="20"/>
            <w:u w:val="single"/>
            <w:lang w:val="en-US"/>
            <w14:ligatures w14:val="none"/>
          </w:rPr>
          <w:t>https://papers.ssrn.com/sol3/papers.cfm?abstract_id=4912797</w:t>
        </w:r>
      </w:hyperlink>
      <w:r w:rsidRPr="00E367A2">
        <w:rPr>
          <w:rFonts w:ascii="Times New Roman" w:eastAsia="Calibri" w:hAnsi="Times New Roman" w:cs="Times New Roman"/>
          <w:kern w:val="0"/>
          <w:sz w:val="20"/>
          <w:szCs w:val="20"/>
          <w:lang w:val="en-US"/>
          <w14:ligatures w14:val="none"/>
        </w:rPr>
        <w:t xml:space="preserve">   </w:t>
      </w:r>
    </w:p>
    <w:p w14:paraId="51BD8131"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46. Pérez-Restrepo, C., López, C. A., Singh, P., Ochoa, A. M. R., Ceballos, D. V., Tilekar, G. D., &amp; Kaakandikar, R. (2021). Improving online customer satisfaction: A study on Biba. International Journal of Accounting &amp; Finance in Asia Pacific, 4(3), 88–99 </w:t>
      </w:r>
    </w:p>
    <w:p w14:paraId="6E121CF3"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47. Poman, A., &amp; Kaakandikar, R. (2022, August 11). Study &amp; calculation of Goods and Service Tax (GST). Journal of Positive School Psychology. </w:t>
      </w:r>
      <w:hyperlink r:id="rId80" w:history="1">
        <w:r w:rsidRPr="00E367A2">
          <w:rPr>
            <w:rFonts w:ascii="Times New Roman" w:eastAsia="Calibri" w:hAnsi="Times New Roman" w:cs="Times New Roman"/>
            <w:kern w:val="0"/>
            <w:sz w:val="20"/>
            <w:szCs w:val="20"/>
            <w:u w:val="single"/>
            <w:lang w:val="en-US"/>
            <w14:ligatures w14:val="none"/>
          </w:rPr>
          <w:t>https://mail.journalppw.com/index.php/jpsp/article/view/10373</w:t>
        </w:r>
      </w:hyperlink>
      <w:r w:rsidRPr="00E367A2">
        <w:rPr>
          <w:rFonts w:ascii="Times New Roman" w:eastAsia="Calibri" w:hAnsi="Times New Roman" w:cs="Times New Roman"/>
          <w:kern w:val="0"/>
          <w:sz w:val="20"/>
          <w:szCs w:val="20"/>
          <w:lang w:val="en-US"/>
          <w14:ligatures w14:val="none"/>
        </w:rPr>
        <w:t xml:space="preserve">   </w:t>
      </w:r>
    </w:p>
    <w:p w14:paraId="47ED828C"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48. Kaakandikar, D. R. (2024). Embracing phygital transformation for sustainability: IKEA's journey. (Vol. 21, No. 6). Zenodo. </w:t>
      </w:r>
      <w:hyperlink r:id="rId81" w:history="1">
        <w:r w:rsidRPr="00E367A2">
          <w:rPr>
            <w:rFonts w:ascii="Times New Roman" w:eastAsia="Calibri" w:hAnsi="Times New Roman" w:cs="Times New Roman"/>
            <w:kern w:val="0"/>
            <w:sz w:val="20"/>
            <w:szCs w:val="20"/>
            <w:u w:val="single"/>
            <w:lang w:val="en-US"/>
            <w14:ligatures w14:val="none"/>
          </w:rPr>
          <w:t>https://doi.org/10.5281/zenodo.13705463</w:t>
        </w:r>
      </w:hyperlink>
      <w:r w:rsidRPr="00E367A2">
        <w:rPr>
          <w:rFonts w:ascii="Times New Roman" w:eastAsia="Calibri" w:hAnsi="Times New Roman" w:cs="Times New Roman"/>
          <w:kern w:val="0"/>
          <w:sz w:val="20"/>
          <w:szCs w:val="20"/>
          <w:lang w:val="en-US"/>
          <w14:ligatures w14:val="none"/>
        </w:rPr>
        <w:t xml:space="preserve">   </w:t>
      </w:r>
    </w:p>
    <w:p w14:paraId="7DB620D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49. Kaakandikar, D. R. (2024). Cultural intelligence pedagogy in management education: Nurturing diversity-responsive leaders. In Cultural Intelligence Pedagogy in Management Education: Nurturing Diversity-Responsive Leaders (Vol. 44, No. 6). Zenodo. </w:t>
      </w:r>
      <w:hyperlink r:id="rId82" w:history="1">
        <w:r w:rsidRPr="00E367A2">
          <w:rPr>
            <w:rFonts w:ascii="Times New Roman" w:eastAsia="Calibri" w:hAnsi="Times New Roman" w:cs="Times New Roman"/>
            <w:kern w:val="0"/>
            <w:sz w:val="20"/>
            <w:szCs w:val="20"/>
            <w:u w:val="single"/>
            <w:lang w:val="en-US"/>
            <w14:ligatures w14:val="none"/>
          </w:rPr>
          <w:t>https://doi.org/10.5281/zenodo.13705855</w:t>
        </w:r>
      </w:hyperlink>
      <w:r w:rsidRPr="00E367A2">
        <w:rPr>
          <w:rFonts w:ascii="Times New Roman" w:eastAsia="Calibri" w:hAnsi="Times New Roman" w:cs="Times New Roman"/>
          <w:kern w:val="0"/>
          <w:sz w:val="20"/>
          <w:szCs w:val="20"/>
          <w:lang w:val="en-US"/>
          <w14:ligatures w14:val="none"/>
        </w:rPr>
        <w:t xml:space="preserve">   </w:t>
      </w:r>
    </w:p>
    <w:p w14:paraId="4F165B67"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lastRenderedPageBreak/>
        <w:t xml:space="preserve">50. Tiwari, P., Kaakandikar, R., Bhosale, S. S., Nirmala, K., &amp; Kasar, B. (2024). A critical study of behavioural factors affecting mutual funds investors with special reference to Pune District. ES, 20(2), 47–61. </w:t>
      </w:r>
      <w:hyperlink r:id="rId83" w:history="1">
        <w:r w:rsidRPr="00E367A2">
          <w:rPr>
            <w:rFonts w:ascii="Times New Roman" w:eastAsia="Calibri" w:hAnsi="Times New Roman" w:cs="Times New Roman"/>
            <w:kern w:val="0"/>
            <w:sz w:val="20"/>
            <w:szCs w:val="20"/>
            <w:u w:val="single"/>
            <w:lang w:val="en-US"/>
            <w14:ligatures w14:val="none"/>
          </w:rPr>
          <w:t>https://doi.org/10.69889/667gf640</w:t>
        </w:r>
      </w:hyperlink>
      <w:r w:rsidRPr="00E367A2">
        <w:rPr>
          <w:rFonts w:ascii="Times New Roman" w:eastAsia="Calibri" w:hAnsi="Times New Roman" w:cs="Times New Roman"/>
          <w:kern w:val="0"/>
          <w:sz w:val="20"/>
          <w:szCs w:val="20"/>
          <w:lang w:val="en-US"/>
          <w14:ligatures w14:val="none"/>
        </w:rPr>
        <w:t xml:space="preserve"> </w:t>
      </w:r>
    </w:p>
    <w:p w14:paraId="27BD57F6"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51. Kaakandikar, R., Lembhe, Y., &amp; Jiby, B. J. (2024). Unlocking spending trends: The behavioural impact of digital wallets on modern consumers. ES, 20(1), 127–143. </w:t>
      </w:r>
      <w:hyperlink r:id="rId84" w:history="1">
        <w:r w:rsidRPr="00E367A2">
          <w:rPr>
            <w:rFonts w:ascii="Times New Roman" w:eastAsia="Calibri" w:hAnsi="Times New Roman" w:cs="Times New Roman"/>
            <w:kern w:val="0"/>
            <w:sz w:val="20"/>
            <w:szCs w:val="20"/>
            <w:u w:val="single"/>
            <w:lang w:val="en-US"/>
            <w14:ligatures w14:val="none"/>
          </w:rPr>
          <w:t>https://doi.org/10.69889/sqj3vb23</w:t>
        </w:r>
      </w:hyperlink>
      <w:r w:rsidRPr="00E367A2">
        <w:rPr>
          <w:rFonts w:ascii="Times New Roman" w:eastAsia="Calibri" w:hAnsi="Times New Roman" w:cs="Times New Roman"/>
          <w:kern w:val="0"/>
          <w:sz w:val="20"/>
          <w:szCs w:val="20"/>
          <w:lang w:val="en-US"/>
          <w14:ligatures w14:val="none"/>
        </w:rPr>
        <w:t xml:space="preserve"> </w:t>
      </w:r>
    </w:p>
    <w:p w14:paraId="25E42E2B"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52. Kaakandikar, R., Gawande, R. P., Deshmukh, V. A., Raskar, S., &amp; Mulani, H. I. (2024). The strategic significance of artificial intelligence (AI) in HR operations and management. </w:t>
      </w:r>
      <w:r w:rsidRPr="00E367A2">
        <w:rPr>
          <w:rFonts w:ascii="Times New Roman" w:eastAsia="Calibri" w:hAnsi="Times New Roman" w:cs="Times New Roman"/>
          <w:i/>
          <w:iCs/>
          <w:kern w:val="0"/>
          <w:sz w:val="20"/>
          <w:szCs w:val="20"/>
          <w:lang w:val="en-US"/>
          <w14:ligatures w14:val="none"/>
        </w:rPr>
        <w:t>European Economic Letters (EEL)</w:t>
      </w:r>
      <w:r w:rsidRPr="00E367A2">
        <w:rPr>
          <w:rFonts w:ascii="Times New Roman" w:eastAsia="Calibri" w:hAnsi="Times New Roman" w:cs="Times New Roman"/>
          <w:kern w:val="0"/>
          <w:sz w:val="20"/>
          <w:szCs w:val="20"/>
          <w:lang w:val="en-US"/>
          <w14:ligatures w14:val="none"/>
        </w:rPr>
        <w:t xml:space="preserve">, 14(3), 1424–1433. </w:t>
      </w:r>
      <w:hyperlink r:id="rId85" w:tgtFrame="_new" w:history="1">
        <w:r w:rsidRPr="00E367A2">
          <w:rPr>
            <w:rFonts w:ascii="Times New Roman" w:eastAsia="Calibri" w:hAnsi="Times New Roman" w:cs="Times New Roman"/>
            <w:kern w:val="0"/>
            <w:sz w:val="20"/>
            <w:szCs w:val="20"/>
            <w:u w:val="single"/>
            <w:lang w:val="en-US"/>
            <w14:ligatures w14:val="none"/>
          </w:rPr>
          <w:t>https://doi.org/10.52783/eel.v14i3.1907</w:t>
        </w:r>
      </w:hyperlink>
      <w:r w:rsidRPr="00E367A2">
        <w:rPr>
          <w:rFonts w:ascii="Times New Roman" w:eastAsia="Calibri" w:hAnsi="Times New Roman" w:cs="Times New Roman"/>
          <w:kern w:val="0"/>
          <w:sz w:val="20"/>
          <w:szCs w:val="20"/>
          <w:u w:val="single"/>
          <w:lang w:val="en-US"/>
          <w14:ligatures w14:val="none"/>
        </w:rPr>
        <w:t xml:space="preserve"> </w:t>
      </w:r>
    </w:p>
    <w:p w14:paraId="3DCBEB22"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53. Dr. Priya Tiwari, Dr. Rishikaysh Kaakandikar, Mr. Sahil Sachin Bhosale, Dr. K Nirmala, &amp; Dr. Bharat Kasar. (2024). A Critical Study of Behavioural Factors Affecting Mutual Funds Investors with Special Reference to Pune District. In </w:t>
      </w:r>
      <w:r w:rsidRPr="00E367A2">
        <w:rPr>
          <w:rFonts w:ascii="Times New Roman" w:eastAsia="Calibri" w:hAnsi="Times New Roman" w:cs="Times New Roman"/>
          <w:kern w:val="0"/>
          <w:sz w:val="20"/>
          <w:szCs w:val="20"/>
          <w:lang w:val="en-US"/>
          <w14:ligatures w14:val="none"/>
        </w:rPr>
        <w:t xml:space="preserve">Economic Sciences (Vol. 20, Issue 2, pp. 47–61). STR Publication.  </w:t>
      </w:r>
      <w:hyperlink r:id="rId86" w:history="1">
        <w:r w:rsidRPr="00E367A2">
          <w:rPr>
            <w:rFonts w:ascii="Times New Roman" w:eastAsia="Calibri" w:hAnsi="Times New Roman" w:cs="Times New Roman"/>
            <w:kern w:val="0"/>
            <w:sz w:val="20"/>
            <w:szCs w:val="20"/>
            <w:u w:val="single"/>
            <w:lang w:val="en-US"/>
            <w14:ligatures w14:val="none"/>
          </w:rPr>
          <w:t>https://doi.org/10.69889/667gf640</w:t>
        </w:r>
      </w:hyperlink>
      <w:r w:rsidRPr="00E367A2">
        <w:rPr>
          <w:rFonts w:ascii="Times New Roman" w:eastAsia="Calibri" w:hAnsi="Times New Roman" w:cs="Times New Roman"/>
          <w:kern w:val="0"/>
          <w:sz w:val="20"/>
          <w:szCs w:val="20"/>
          <w:lang w:val="en-US"/>
          <w14:ligatures w14:val="none"/>
        </w:rPr>
        <w:t xml:space="preserve"> </w:t>
      </w:r>
    </w:p>
    <w:p w14:paraId="53084414"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54. The Strategic Significance of Artificial Intelligence (AI) in HR Operations and Management. (2024). In European Economic Letters. Science Research Society. </w:t>
      </w:r>
      <w:hyperlink r:id="rId87" w:history="1">
        <w:r w:rsidRPr="00E367A2">
          <w:rPr>
            <w:rFonts w:ascii="Times New Roman" w:eastAsia="Calibri" w:hAnsi="Times New Roman" w:cs="Times New Roman"/>
            <w:kern w:val="0"/>
            <w:sz w:val="20"/>
            <w:szCs w:val="20"/>
            <w:u w:val="single"/>
            <w:lang w:val="en-US"/>
            <w14:ligatures w14:val="none"/>
          </w:rPr>
          <w:t>https://doi.org/10.52783/eel.v14i3.1907</w:t>
        </w:r>
      </w:hyperlink>
      <w:r w:rsidRPr="00E367A2">
        <w:rPr>
          <w:rFonts w:ascii="Times New Roman" w:eastAsia="Calibri" w:hAnsi="Times New Roman" w:cs="Times New Roman"/>
          <w:kern w:val="0"/>
          <w:sz w:val="20"/>
          <w:szCs w:val="20"/>
          <w:lang w:val="en-US"/>
          <w14:ligatures w14:val="none"/>
        </w:rPr>
        <w:t xml:space="preserve"> </w:t>
      </w:r>
    </w:p>
    <w:p w14:paraId="7F288D1A"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lang w:val="en-US"/>
          <w14:ligatures w14:val="none"/>
        </w:rPr>
        <w:t xml:space="preserve">55. KAAKANDIKAR, D. R., &amp; GAWADE, R. (2024). The Fall and Rise of C-Mart. Zenodo. </w:t>
      </w:r>
      <w:hyperlink r:id="rId88" w:history="1">
        <w:r w:rsidRPr="00E367A2">
          <w:rPr>
            <w:rFonts w:ascii="Times New Roman" w:eastAsia="Calibri" w:hAnsi="Times New Roman" w:cs="Times New Roman"/>
            <w:kern w:val="0"/>
            <w:sz w:val="20"/>
            <w:szCs w:val="20"/>
            <w:u w:val="single"/>
            <w:lang w:val="en-US"/>
            <w14:ligatures w14:val="none"/>
          </w:rPr>
          <w:t>https://doi.org/10.5281/zenodo.13886924</w:t>
        </w:r>
      </w:hyperlink>
      <w:r w:rsidRPr="00E367A2">
        <w:rPr>
          <w:rFonts w:ascii="Times New Roman" w:eastAsia="Calibri" w:hAnsi="Times New Roman" w:cs="Times New Roman"/>
          <w:kern w:val="0"/>
          <w:sz w:val="20"/>
          <w:szCs w:val="20"/>
          <w:lang w:val="en-US"/>
          <w14:ligatures w14:val="none"/>
        </w:rPr>
        <w:t xml:space="preserve"> </w:t>
      </w:r>
    </w:p>
    <w:p w14:paraId="51BA167B"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14:ligatures w14:val="none"/>
        </w:rPr>
      </w:pPr>
      <w:r w:rsidRPr="00E367A2">
        <w:rPr>
          <w:rFonts w:ascii="Times New Roman" w:eastAsia="Calibri" w:hAnsi="Times New Roman" w:cs="Times New Roman"/>
          <w:kern w:val="0"/>
          <w:sz w:val="20"/>
          <w:szCs w:val="20"/>
          <w:lang w:val="en-US"/>
          <w14:ligatures w14:val="none"/>
        </w:rPr>
        <w:t>56.</w:t>
      </w:r>
      <w:r w:rsidRPr="00E367A2">
        <w:rPr>
          <w:rFonts w:ascii="Times New Roman" w:eastAsia="Calibri" w:hAnsi="Times New Roman" w:cs="Times New Roman"/>
          <w:kern w:val="0"/>
          <w:sz w:val="20"/>
          <w:szCs w:val="20"/>
          <w14:ligatures w14:val="none"/>
        </w:rPr>
        <w:t xml:space="preserve">Pathak, S., Kaakandikar, R., &amp; Nim, D. (2024). Data-Driven Insights. In Advances in Marketing, Customer Relationship Management, and E-Services (pp. 151–184). IGI Global. </w:t>
      </w:r>
      <w:hyperlink r:id="rId89" w:history="1">
        <w:r w:rsidRPr="00E367A2">
          <w:rPr>
            <w:rStyle w:val="Hyperlink"/>
            <w:rFonts w:ascii="Times New Roman" w:eastAsia="Calibri" w:hAnsi="Times New Roman" w:cs="Times New Roman"/>
            <w:color w:val="auto"/>
            <w:kern w:val="0"/>
            <w:sz w:val="20"/>
            <w:szCs w:val="20"/>
            <w14:ligatures w14:val="none"/>
          </w:rPr>
          <w:t>https://doi.org/10.4018/979-8-3693-7773-4.ch007</w:t>
        </w:r>
      </w:hyperlink>
      <w:r w:rsidRPr="00E367A2">
        <w:rPr>
          <w:rFonts w:ascii="Times New Roman" w:eastAsia="Calibri" w:hAnsi="Times New Roman" w:cs="Times New Roman"/>
          <w:kern w:val="0"/>
          <w:sz w:val="20"/>
          <w:szCs w:val="20"/>
          <w14:ligatures w14:val="none"/>
        </w:rPr>
        <w:t xml:space="preserve"> </w:t>
      </w:r>
    </w:p>
    <w:p w14:paraId="6AFD4638" w14:textId="77777777" w:rsidR="00A830B3" w:rsidRPr="00E367A2" w:rsidRDefault="00A830B3" w:rsidP="0029066D">
      <w:pPr>
        <w:spacing w:before="120" w:after="0" w:line="276" w:lineRule="auto"/>
        <w:jc w:val="both"/>
        <w:rPr>
          <w:rFonts w:ascii="Times New Roman" w:eastAsia="Calibri" w:hAnsi="Times New Roman" w:cs="Times New Roman"/>
          <w:kern w:val="0"/>
          <w:sz w:val="20"/>
          <w:szCs w:val="20"/>
          <w:lang w:val="en-US"/>
          <w14:ligatures w14:val="none"/>
        </w:rPr>
      </w:pPr>
      <w:r w:rsidRPr="00E367A2">
        <w:rPr>
          <w:rFonts w:ascii="Times New Roman" w:eastAsia="Calibri" w:hAnsi="Times New Roman" w:cs="Times New Roman"/>
          <w:kern w:val="0"/>
          <w:sz w:val="20"/>
          <w:szCs w:val="20"/>
          <w14:ligatures w14:val="none"/>
        </w:rPr>
        <w:t>57.KAAKANDIKAR, D. R. (2024). Decentralized Finance (DeFi) Solutions: A Computational Approach to Traditional Banking Systems. Zenodo. </w:t>
      </w:r>
      <w:hyperlink r:id="rId90" w:tgtFrame="_blank" w:history="1">
        <w:r w:rsidRPr="00E367A2">
          <w:rPr>
            <w:rStyle w:val="Hyperlink"/>
            <w:rFonts w:ascii="Times New Roman" w:eastAsia="Calibri" w:hAnsi="Times New Roman" w:cs="Times New Roman"/>
            <w:color w:val="auto"/>
            <w:kern w:val="0"/>
            <w:sz w:val="20"/>
            <w:szCs w:val="20"/>
            <w14:ligatures w14:val="none"/>
          </w:rPr>
          <w:t>https://doi.org/10.5281/zenodo.14060433</w:t>
        </w:r>
      </w:hyperlink>
    </w:p>
    <w:p w14:paraId="735D0814" w14:textId="77777777" w:rsidR="00E367A2" w:rsidRDefault="00E367A2" w:rsidP="0029066D">
      <w:pPr>
        <w:pStyle w:val="ListParagraph"/>
        <w:spacing w:before="120" w:after="0" w:line="276" w:lineRule="auto"/>
        <w:ind w:left="0"/>
        <w:jc w:val="both"/>
        <w:rPr>
          <w:rFonts w:ascii="Times New Roman" w:hAnsi="Times New Roman" w:cs="Times New Roman"/>
          <w:bCs/>
          <w:sz w:val="20"/>
          <w:szCs w:val="20"/>
        </w:rPr>
        <w:sectPr w:rsidR="00E367A2" w:rsidSect="00A61429">
          <w:type w:val="continuous"/>
          <w:pgSz w:w="11906" w:h="16838" w:code="9"/>
          <w:pgMar w:top="1440" w:right="1440" w:bottom="1440" w:left="1440" w:header="576" w:footer="708" w:gutter="0"/>
          <w:cols w:num="2" w:space="708"/>
          <w:docGrid w:linePitch="360"/>
        </w:sectPr>
      </w:pPr>
    </w:p>
    <w:p w14:paraId="42A282F6" w14:textId="12295270" w:rsidR="004961AA" w:rsidRPr="00E367A2" w:rsidRDefault="004961AA" w:rsidP="0029066D">
      <w:pPr>
        <w:pStyle w:val="ListParagraph"/>
        <w:spacing w:before="120" w:after="0" w:line="276" w:lineRule="auto"/>
        <w:ind w:left="0"/>
        <w:jc w:val="both"/>
        <w:rPr>
          <w:rFonts w:ascii="Times New Roman" w:hAnsi="Times New Roman" w:cs="Times New Roman"/>
          <w:bCs/>
          <w:sz w:val="20"/>
          <w:szCs w:val="20"/>
        </w:rPr>
      </w:pPr>
      <w:r w:rsidRPr="00E367A2">
        <w:rPr>
          <w:rFonts w:ascii="Times New Roman" w:hAnsi="Times New Roman" w:cs="Times New Roman"/>
          <w:bCs/>
          <w:sz w:val="20"/>
          <w:szCs w:val="20"/>
        </w:rPr>
        <w:t xml:space="preserve"> </w:t>
      </w:r>
    </w:p>
    <w:p w14:paraId="7F443C71" w14:textId="77777777" w:rsidR="004961AA" w:rsidRPr="00E367A2" w:rsidRDefault="004961AA" w:rsidP="0029066D">
      <w:pPr>
        <w:spacing w:before="120" w:after="0" w:line="276" w:lineRule="auto"/>
        <w:jc w:val="both"/>
        <w:rPr>
          <w:rFonts w:ascii="Times New Roman" w:hAnsi="Times New Roman" w:cs="Times New Roman"/>
          <w:bCs/>
          <w:sz w:val="20"/>
          <w:szCs w:val="20"/>
        </w:rPr>
      </w:pPr>
    </w:p>
    <w:p w14:paraId="0A0EA8AF" w14:textId="77777777" w:rsidR="00D23549" w:rsidRPr="00E367A2" w:rsidRDefault="00D23549" w:rsidP="0029066D">
      <w:pPr>
        <w:pStyle w:val="ListParagraph"/>
        <w:spacing w:before="120" w:after="0" w:line="276" w:lineRule="auto"/>
        <w:ind w:left="0"/>
        <w:jc w:val="both"/>
        <w:rPr>
          <w:rFonts w:ascii="Times New Roman" w:hAnsi="Times New Roman" w:cs="Times New Roman"/>
          <w:bCs/>
          <w:sz w:val="20"/>
          <w:szCs w:val="20"/>
        </w:rPr>
      </w:pPr>
    </w:p>
    <w:p w14:paraId="6FCBCF54" w14:textId="77777777" w:rsidR="0029066D" w:rsidRPr="00E367A2" w:rsidRDefault="0029066D" w:rsidP="0029066D">
      <w:pPr>
        <w:pStyle w:val="ListParagraph"/>
        <w:spacing w:before="120" w:after="0" w:line="276" w:lineRule="auto"/>
        <w:ind w:left="0"/>
        <w:jc w:val="both"/>
        <w:rPr>
          <w:rFonts w:ascii="Times New Roman" w:hAnsi="Times New Roman" w:cs="Times New Roman"/>
          <w:bCs/>
          <w:sz w:val="20"/>
          <w:szCs w:val="20"/>
        </w:rPr>
      </w:pPr>
    </w:p>
    <w:sectPr w:rsidR="0029066D" w:rsidRPr="00E367A2" w:rsidSect="0029066D">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C6C2" w14:textId="77777777" w:rsidR="00DD756A" w:rsidRDefault="00DD756A" w:rsidP="00F32CCF">
      <w:pPr>
        <w:spacing w:after="0" w:line="240" w:lineRule="auto"/>
      </w:pPr>
      <w:r>
        <w:separator/>
      </w:r>
    </w:p>
  </w:endnote>
  <w:endnote w:type="continuationSeparator" w:id="0">
    <w:p w14:paraId="6FD1C189" w14:textId="77777777" w:rsidR="00DD756A" w:rsidRDefault="00DD756A" w:rsidP="00F32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ongti SC">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136732"/>
      <w:docPartObj>
        <w:docPartGallery w:val="Page Numbers (Bottom of Page)"/>
        <w:docPartUnique/>
      </w:docPartObj>
    </w:sdtPr>
    <w:sdtEndPr>
      <w:rPr>
        <w:noProof/>
      </w:rPr>
    </w:sdtEndPr>
    <w:sdtContent>
      <w:p w14:paraId="18DD596D" w14:textId="624CE0AC" w:rsidR="00A61429" w:rsidRDefault="00A614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3722C9" w14:textId="77777777" w:rsidR="00A61429" w:rsidRDefault="00A61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1324" w14:textId="77777777" w:rsidR="00DD756A" w:rsidRDefault="00DD756A" w:rsidP="00F32CCF">
      <w:pPr>
        <w:spacing w:after="0" w:line="240" w:lineRule="auto"/>
      </w:pPr>
      <w:r>
        <w:separator/>
      </w:r>
    </w:p>
  </w:footnote>
  <w:footnote w:type="continuationSeparator" w:id="0">
    <w:p w14:paraId="776E2C55" w14:textId="77777777" w:rsidR="00DD756A" w:rsidRDefault="00DD756A" w:rsidP="00F32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8BAB" w14:textId="459AD71C" w:rsidR="000550CA" w:rsidRDefault="000550CA" w:rsidP="00F32CCF">
    <w:pPr>
      <w:pStyle w:val="BodyText"/>
      <w:spacing w:line="14" w:lineRule="auto"/>
      <w:jc w:val="left"/>
    </w:pPr>
    <w:r>
      <w:rPr>
        <w:noProof/>
        <w:lang w:val="en-IN" w:eastAsia="en-IN"/>
      </w:rPr>
      <mc:AlternateContent>
        <mc:Choice Requires="wps">
          <w:drawing>
            <wp:anchor distT="0" distB="0" distL="0" distR="0" simplePos="0" relativeHeight="251659264" behindDoc="1" locked="0" layoutInCell="1" allowOverlap="1" wp14:anchorId="3F6C8F6B" wp14:editId="42C6DF4D">
              <wp:simplePos x="0" y="0"/>
              <wp:positionH relativeFrom="page">
                <wp:posOffset>615696</wp:posOffset>
              </wp:positionH>
              <wp:positionV relativeFrom="page">
                <wp:posOffset>457199</wp:posOffset>
              </wp:positionV>
              <wp:extent cx="6211570" cy="6350"/>
              <wp:effectExtent l="0" t="0" r="0" b="0"/>
              <wp:wrapNone/>
              <wp:docPr id="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1570" cy="6350"/>
                      </a:xfrm>
                      <a:custGeom>
                        <a:avLst/>
                        <a:gdLst/>
                        <a:ahLst/>
                        <a:cxnLst/>
                        <a:rect l="l" t="t" r="r" b="b"/>
                        <a:pathLst>
                          <a:path w="6211570" h="6350">
                            <a:moveTo>
                              <a:pt x="6211570" y="0"/>
                            </a:moveTo>
                            <a:lnTo>
                              <a:pt x="5138674" y="0"/>
                            </a:lnTo>
                            <a:lnTo>
                              <a:pt x="5132578" y="0"/>
                            </a:lnTo>
                            <a:lnTo>
                              <a:pt x="0" y="0"/>
                            </a:lnTo>
                            <a:lnTo>
                              <a:pt x="0" y="6096"/>
                            </a:lnTo>
                            <a:lnTo>
                              <a:pt x="5132578" y="6096"/>
                            </a:lnTo>
                            <a:lnTo>
                              <a:pt x="5138674" y="6096"/>
                            </a:lnTo>
                            <a:lnTo>
                              <a:pt x="6211570" y="6096"/>
                            </a:lnTo>
                            <a:lnTo>
                              <a:pt x="62115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239D0" id="Graphic 1" o:spid="_x0000_s1026" style="position:absolute;margin-left:48.5pt;margin-top:36pt;width:489.1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211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" path="m6211570,l5138674,r-6096,l,,,6096r5132578,l5138674,6096r1072896,l6211570,xe" fillcolor="black" stroked="f">
              <v:path arrowok="t"/>
              <w10:wrap anchorx="page" anchory="page"/>
            </v:shape>
          </w:pict>
        </mc:Fallback>
      </mc:AlternateContent>
    </w:r>
    <w:r>
      <w:rPr>
        <w:noProof/>
        <w:lang w:val="en-IN" w:eastAsia="en-IN"/>
      </w:rPr>
      <mc:AlternateContent>
        <mc:Choice Requires="wps">
          <w:drawing>
            <wp:anchor distT="0" distB="0" distL="0" distR="0" simplePos="0" relativeHeight="251660288" behindDoc="1" locked="0" layoutInCell="1" allowOverlap="1" wp14:anchorId="6271683C" wp14:editId="33B8A8C7">
              <wp:simplePos x="0" y="0"/>
              <wp:positionH relativeFrom="page">
                <wp:posOffset>606552</wp:posOffset>
              </wp:positionH>
              <wp:positionV relativeFrom="page">
                <wp:posOffset>1562353</wp:posOffset>
              </wp:positionV>
              <wp:extent cx="622109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1095" cy="6350"/>
                      </a:xfrm>
                      <a:custGeom>
                        <a:avLst/>
                        <a:gdLst/>
                        <a:ahLst/>
                        <a:cxnLst/>
                        <a:rect l="l" t="t" r="r" b="b"/>
                        <a:pathLst>
                          <a:path w="6221095" h="6350">
                            <a:moveTo>
                              <a:pt x="6220714" y="0"/>
                            </a:moveTo>
                            <a:lnTo>
                              <a:pt x="5141722" y="0"/>
                            </a:lnTo>
                            <a:lnTo>
                              <a:pt x="5138674" y="0"/>
                            </a:lnTo>
                            <a:lnTo>
                              <a:pt x="5132578" y="0"/>
                            </a:lnTo>
                            <a:lnTo>
                              <a:pt x="0" y="0"/>
                            </a:lnTo>
                            <a:lnTo>
                              <a:pt x="0" y="6096"/>
                            </a:lnTo>
                            <a:lnTo>
                              <a:pt x="5132578" y="6096"/>
                            </a:lnTo>
                            <a:lnTo>
                              <a:pt x="5138674" y="6096"/>
                            </a:lnTo>
                            <a:lnTo>
                              <a:pt x="5141722" y="6096"/>
                            </a:lnTo>
                            <a:lnTo>
                              <a:pt x="6220714" y="6096"/>
                            </a:lnTo>
                            <a:lnTo>
                              <a:pt x="62207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30683" id="Graphic 4" o:spid="_x0000_s1026" style="position:absolute;margin-left:47.75pt;margin-top:123pt;width:489.85pt;height:.5pt;z-index:-251656192;visibility:visible;mso-wrap-style:square;mso-wrap-distance-left:0;mso-wrap-distance-top:0;mso-wrap-distance-right:0;mso-wrap-distance-bottom:0;mso-position-horizontal:absolute;mso-position-horizontal-relative:page;mso-position-vertical:absolute;mso-position-vertical-relative:page;v-text-anchor:top" coordsize="6221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" path="m6220714,l5141722,r-3048,l5132578,,,,,6096r5132578,l5138674,6096r3048,l6220714,6096r,-6096xe" fillcolor="black" stroked="f">
              <v:path arrowok="t"/>
              <w10:wrap anchorx="page" anchory="page"/>
            </v:shape>
          </w:pict>
        </mc:Fallback>
      </mc:AlternateContent>
    </w:r>
    <w:r>
      <w:t>`</w:t>
    </w:r>
  </w:p>
  <w:p w14:paraId="2241DA77" w14:textId="77777777" w:rsidR="000550CA" w:rsidRDefault="000550CA" w:rsidP="00F32CCF">
    <w:pPr>
      <w:pStyle w:val="Header"/>
    </w:pPr>
  </w:p>
  <w:tbl>
    <w:tblPr>
      <w:tblStyle w:val="TableGrid"/>
      <w:tblW w:w="972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1620"/>
    </w:tblGrid>
    <w:tr w:rsidR="000550CA" w14:paraId="505CB967" w14:textId="77777777" w:rsidTr="000550CA">
      <w:tc>
        <w:tcPr>
          <w:tcW w:w="8100" w:type="dxa"/>
        </w:tcPr>
        <w:p w14:paraId="5366DBAC" w14:textId="77777777" w:rsidR="000550CA" w:rsidRPr="00140504" w:rsidRDefault="000550CA" w:rsidP="00F32CCF">
          <w:pPr>
            <w:pStyle w:val="Header"/>
            <w:tabs>
              <w:tab w:val="clear" w:pos="4513"/>
              <w:tab w:val="clear" w:pos="9026"/>
              <w:tab w:val="left" w:pos="2108"/>
            </w:tabs>
            <w:jc w:val="center"/>
            <w:rPr>
              <w:rFonts w:ascii="Times New Roman" w:hAnsi="Times New Roman" w:cs="Times New Roman"/>
              <w:sz w:val="32"/>
              <w:szCs w:val="32"/>
            </w:rPr>
          </w:pPr>
          <w:r w:rsidRPr="00140504">
            <w:rPr>
              <w:rFonts w:ascii="Times New Roman" w:hAnsi="Times New Roman" w:cs="Times New Roman"/>
              <w:sz w:val="32"/>
              <w:szCs w:val="32"/>
            </w:rPr>
            <w:t>Economic Sciences</w:t>
          </w:r>
        </w:p>
        <w:p w14:paraId="2C064A86" w14:textId="77777777" w:rsidR="000550CA" w:rsidRPr="00AB0354" w:rsidRDefault="000550CA" w:rsidP="00F32CCF">
          <w:pPr>
            <w:pStyle w:val="Header"/>
            <w:tabs>
              <w:tab w:val="clear" w:pos="4513"/>
              <w:tab w:val="clear" w:pos="9026"/>
              <w:tab w:val="left" w:pos="2108"/>
            </w:tabs>
            <w:jc w:val="center"/>
            <w:rPr>
              <w:rFonts w:ascii="Times New Roman" w:hAnsi="Times New Roman" w:cs="Times New Roman"/>
            </w:rPr>
          </w:pPr>
          <w:r w:rsidRPr="00AB0354">
            <w:rPr>
              <w:rStyle w:val="Hyperlink"/>
              <w:rFonts w:ascii="Times New Roman" w:hAnsi="Times New Roman" w:cs="Times New Roman"/>
            </w:rPr>
            <w:t xml:space="preserve">https://economic-sciences.com </w:t>
          </w:r>
        </w:p>
        <w:p w14:paraId="0865C5E2" w14:textId="0D97BFBE" w:rsidR="000550CA" w:rsidRPr="00140504" w:rsidRDefault="000550CA" w:rsidP="00F32CCF">
          <w:pPr>
            <w:spacing w:before="122"/>
            <w:ind w:left="1" w:right="1"/>
            <w:jc w:val="center"/>
            <w:rPr>
              <w:rFonts w:ascii="Times New Roman" w:hAnsi="Times New Roman" w:cs="Times New Roman"/>
            </w:rPr>
          </w:pPr>
          <w:r w:rsidRPr="00140504">
            <w:rPr>
              <w:rFonts w:ascii="Times New Roman" w:hAnsi="Times New Roman" w:cs="Times New Roman"/>
            </w:rPr>
            <w:t>ES</w:t>
          </w:r>
          <w:r w:rsidRPr="00140504">
            <w:rPr>
              <w:rFonts w:ascii="Times New Roman" w:hAnsi="Times New Roman" w:cs="Times New Roman"/>
              <w:spacing w:val="-5"/>
            </w:rPr>
            <w:t xml:space="preserve"> </w:t>
          </w:r>
          <w:r w:rsidRPr="00140504">
            <w:rPr>
              <w:rFonts w:ascii="Times New Roman" w:hAnsi="Times New Roman" w:cs="Times New Roman"/>
            </w:rPr>
            <w:t>(20</w:t>
          </w:r>
          <w:r w:rsidR="00A61429">
            <w:rPr>
              <w:rFonts w:ascii="Times New Roman" w:hAnsi="Times New Roman" w:cs="Times New Roman"/>
            </w:rPr>
            <w:t>25</w:t>
          </w:r>
          <w:r w:rsidRPr="00140504">
            <w:rPr>
              <w:rFonts w:ascii="Times New Roman" w:hAnsi="Times New Roman" w:cs="Times New Roman"/>
            </w:rPr>
            <w:t>)</w:t>
          </w:r>
          <w:r w:rsidRPr="00140504">
            <w:rPr>
              <w:rFonts w:ascii="Times New Roman" w:hAnsi="Times New Roman" w:cs="Times New Roman"/>
              <w:spacing w:val="-3"/>
            </w:rPr>
            <w:t xml:space="preserve"> </w:t>
          </w:r>
          <w:r w:rsidR="00A61429">
            <w:rPr>
              <w:rFonts w:ascii="Times New Roman" w:hAnsi="Times New Roman" w:cs="Times New Roman"/>
              <w:spacing w:val="-3"/>
            </w:rPr>
            <w:t>21</w:t>
          </w:r>
          <w:r w:rsidRPr="00140504">
            <w:rPr>
              <w:rFonts w:ascii="Times New Roman" w:hAnsi="Times New Roman" w:cs="Times New Roman"/>
            </w:rPr>
            <w:t>(</w:t>
          </w:r>
          <w:r w:rsidR="00A61429">
            <w:rPr>
              <w:rFonts w:ascii="Times New Roman" w:hAnsi="Times New Roman" w:cs="Times New Roman"/>
            </w:rPr>
            <w:t>4S</w:t>
          </w:r>
          <w:r w:rsidRPr="00140504">
            <w:rPr>
              <w:rFonts w:ascii="Times New Roman" w:hAnsi="Times New Roman" w:cs="Times New Roman"/>
            </w:rPr>
            <w:t>),</w:t>
          </w:r>
          <w:r w:rsidRPr="00140504">
            <w:rPr>
              <w:rFonts w:ascii="Times New Roman" w:hAnsi="Times New Roman" w:cs="Times New Roman"/>
              <w:spacing w:val="-3"/>
            </w:rPr>
            <w:t xml:space="preserve"> </w:t>
          </w:r>
          <w:r w:rsidR="00A61429">
            <w:rPr>
              <w:rFonts w:ascii="Times New Roman" w:hAnsi="Times New Roman" w:cs="Times New Roman"/>
              <w:spacing w:val="-3"/>
            </w:rPr>
            <w:t>119</w:t>
          </w:r>
          <w:r w:rsidRPr="00140504">
            <w:rPr>
              <w:rFonts w:ascii="Times New Roman" w:hAnsi="Times New Roman" w:cs="Times New Roman"/>
            </w:rPr>
            <w:t>-</w:t>
          </w:r>
          <w:r w:rsidR="00A61429">
            <w:rPr>
              <w:rFonts w:ascii="Times New Roman" w:hAnsi="Times New Roman" w:cs="Times New Roman"/>
            </w:rPr>
            <w:t>139</w:t>
          </w:r>
          <w:r w:rsidRPr="00140504">
            <w:rPr>
              <w:rFonts w:ascii="Times New Roman" w:hAnsi="Times New Roman" w:cs="Times New Roman"/>
              <w:spacing w:val="-4"/>
            </w:rPr>
            <w:t xml:space="preserve"> </w:t>
          </w:r>
          <w:r w:rsidRPr="00140504">
            <w:rPr>
              <w:rFonts w:ascii="Times New Roman" w:hAnsi="Times New Roman" w:cs="Times New Roman"/>
            </w:rPr>
            <w:t>|</w:t>
          </w:r>
          <w:r w:rsidRPr="00140504">
            <w:rPr>
              <w:rFonts w:ascii="Times New Roman" w:hAnsi="Times New Roman" w:cs="Times New Roman"/>
              <w:spacing w:val="-7"/>
            </w:rPr>
            <w:t xml:space="preserve"> </w:t>
          </w:r>
          <w:r w:rsidRPr="00140504">
            <w:rPr>
              <w:rFonts w:ascii="Times New Roman" w:hAnsi="Times New Roman" w:cs="Times New Roman"/>
            </w:rPr>
            <w:t>ISSN:</w:t>
          </w:r>
          <w:r>
            <w:rPr>
              <w:rFonts w:ascii="Times New Roman" w:hAnsi="Times New Roman" w:cs="Times New Roman"/>
            </w:rPr>
            <w:t>1505</w:t>
          </w:r>
          <w:r w:rsidRPr="00140504">
            <w:rPr>
              <w:rFonts w:ascii="Times New Roman" w:hAnsi="Times New Roman" w:cs="Times New Roman"/>
            </w:rPr>
            <w:t>-</w:t>
          </w:r>
          <w:r>
            <w:rPr>
              <w:rFonts w:ascii="Times New Roman" w:hAnsi="Times New Roman" w:cs="Times New Roman"/>
            </w:rPr>
            <w:t>4683</w:t>
          </w:r>
        </w:p>
        <w:p w14:paraId="4365225A" w14:textId="77777777" w:rsidR="000550CA" w:rsidRDefault="000550CA" w:rsidP="00F32CCF">
          <w:pPr>
            <w:pStyle w:val="Header"/>
          </w:pPr>
          <w:r>
            <w:rPr>
              <w:noProof/>
            </w:rPr>
            <mc:AlternateContent>
              <mc:Choice Requires="wps">
                <w:drawing>
                  <wp:anchor distT="0" distB="0" distL="0" distR="0" simplePos="0" relativeHeight="251661312" behindDoc="1" locked="0" layoutInCell="1" allowOverlap="1" wp14:anchorId="4E2FB21C" wp14:editId="16D0B185">
                    <wp:simplePos x="0" y="0"/>
                    <wp:positionH relativeFrom="page">
                      <wp:posOffset>64135</wp:posOffset>
                    </wp:positionH>
                    <wp:positionV relativeFrom="page">
                      <wp:posOffset>635</wp:posOffset>
                    </wp:positionV>
                    <wp:extent cx="4916170" cy="793115"/>
                    <wp:effectExtent l="0" t="0" r="0" b="0"/>
                    <wp:wrapNone/>
                    <wp:docPr id="55113705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170" cy="793115"/>
                            </a:xfrm>
                            <a:custGeom>
                              <a:avLst/>
                              <a:gdLst/>
                              <a:ahLst/>
                              <a:cxnLst/>
                              <a:rect l="l" t="t" r="r" b="b"/>
                              <a:pathLst>
                                <a:path w="4916170" h="793115">
                                  <a:moveTo>
                                    <a:pt x="4916170" y="0"/>
                                  </a:moveTo>
                                  <a:lnTo>
                                    <a:pt x="0" y="0"/>
                                  </a:lnTo>
                                  <a:lnTo>
                                    <a:pt x="0" y="793115"/>
                                  </a:lnTo>
                                  <a:lnTo>
                                    <a:pt x="4916170" y="793115"/>
                                  </a:lnTo>
                                  <a:lnTo>
                                    <a:pt x="4916170" y="0"/>
                                  </a:lnTo>
                                  <a:close/>
                                </a:path>
                              </a:pathLst>
                            </a:custGeom>
                            <a:solidFill>
                              <a:srgbClr val="D6D6D6"/>
                            </a:solidFill>
                          </wps:spPr>
                          <wps:bodyPr wrap="square" lIns="0" tIns="0" rIns="0" bIns="0" rtlCol="0">
                            <a:prstTxWarp prst="textNoShape">
                              <a:avLst/>
                            </a:prstTxWarp>
                            <a:noAutofit/>
                          </wps:bodyPr>
                        </wps:wsp>
                      </a:graphicData>
                    </a:graphic>
                  </wp:anchor>
                </w:drawing>
              </mc:Choice>
              <mc:Fallback>
                <w:pict>
                  <v:shape w14:anchorId="2D004072" id="Graphic 2" o:spid="_x0000_s1026" style="position:absolute;margin-left:5.05pt;margin-top:.05pt;width:387.1pt;height:62.45pt;z-index:-251655168;visibility:visible;mso-wrap-style:square;mso-wrap-distance-left:0;mso-wrap-distance-top:0;mso-wrap-distance-right:0;mso-wrap-distance-bottom:0;mso-position-horizontal:absolute;mso-position-horizontal-relative:page;mso-position-vertical:absolute;mso-position-vertical-relative:page;v-text-anchor:top" coordsize="4916170,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" path="m4916170,l,,,793115r4916170,l4916170,xe" fillcolor="#d6d6d6" stroked="f">
                    <v:path arrowok="t"/>
                    <w10:wrap anchorx="page" anchory="page"/>
                  </v:shape>
                </w:pict>
              </mc:Fallback>
            </mc:AlternateContent>
          </w:r>
        </w:p>
      </w:tc>
      <w:tc>
        <w:tcPr>
          <w:tcW w:w="1620" w:type="dxa"/>
        </w:tcPr>
        <w:p w14:paraId="19E3B9D4" w14:textId="77777777" w:rsidR="000550CA" w:rsidRDefault="000550CA" w:rsidP="00F32CCF">
          <w:pPr>
            <w:pStyle w:val="Header"/>
            <w:jc w:val="right"/>
          </w:pPr>
          <w:r>
            <w:rPr>
              <w:noProof/>
            </w:rPr>
            <w:drawing>
              <wp:inline distT="0" distB="0" distL="0" distR="0" wp14:anchorId="5F36EA85" wp14:editId="58CFDACA">
                <wp:extent cx="639041" cy="876300"/>
                <wp:effectExtent l="0" t="0" r="889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968" cy="921452"/>
                        </a:xfrm>
                        <a:prstGeom prst="rect">
                          <a:avLst/>
                        </a:prstGeom>
                        <a:noFill/>
                        <a:ln>
                          <a:noFill/>
                        </a:ln>
                      </pic:spPr>
                    </pic:pic>
                  </a:graphicData>
                </a:graphic>
              </wp:inline>
            </w:drawing>
          </w:r>
        </w:p>
      </w:tc>
    </w:tr>
  </w:tbl>
  <w:p w14:paraId="104197E3" w14:textId="77777777" w:rsidR="000550CA" w:rsidRDefault="000550CA" w:rsidP="00F32CCF">
    <w:pPr>
      <w:pStyle w:val="Header"/>
    </w:pPr>
  </w:p>
  <w:p w14:paraId="21DABFB4" w14:textId="77777777" w:rsidR="000550CA" w:rsidRPr="00F32CCF" w:rsidRDefault="000550CA" w:rsidP="00F3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2D6F"/>
    <w:multiLevelType w:val="hybridMultilevel"/>
    <w:tmpl w:val="77209746"/>
    <w:lvl w:ilvl="0" w:tplc="4009000F">
      <w:start w:val="1"/>
      <w:numFmt w:val="decimal"/>
      <w:lvlText w:val="%1."/>
      <w:lvlJc w:val="left"/>
      <w:pPr>
        <w:ind w:left="644"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4AA0992"/>
    <w:multiLevelType w:val="hybridMultilevel"/>
    <w:tmpl w:val="AE44FC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3EA3AD8"/>
    <w:multiLevelType w:val="multilevel"/>
    <w:tmpl w:val="3BE4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85E3F"/>
    <w:multiLevelType w:val="multilevel"/>
    <w:tmpl w:val="D74AACE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 w15:restartNumberingAfterBreak="0">
    <w:nsid w:val="5D653B8A"/>
    <w:multiLevelType w:val="multilevel"/>
    <w:tmpl w:val="A672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622D45"/>
    <w:multiLevelType w:val="multilevel"/>
    <w:tmpl w:val="FD30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8C0FE6"/>
    <w:multiLevelType w:val="hybridMultilevel"/>
    <w:tmpl w:val="19DC4B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62B3372"/>
    <w:multiLevelType w:val="hybridMultilevel"/>
    <w:tmpl w:val="F126F6BC"/>
    <w:lvl w:ilvl="0" w:tplc="417A5FE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32959333">
    <w:abstractNumId w:val="3"/>
  </w:num>
  <w:num w:numId="2" w16cid:durableId="197934060">
    <w:abstractNumId w:val="6"/>
  </w:num>
  <w:num w:numId="3" w16cid:durableId="1618096334">
    <w:abstractNumId w:val="7"/>
  </w:num>
  <w:num w:numId="4" w16cid:durableId="1208184325">
    <w:abstractNumId w:val="0"/>
  </w:num>
  <w:num w:numId="5" w16cid:durableId="2053847129">
    <w:abstractNumId w:val="1"/>
  </w:num>
  <w:num w:numId="6" w16cid:durableId="1052919582">
    <w:abstractNumId w:val="4"/>
  </w:num>
  <w:num w:numId="7" w16cid:durableId="508257304">
    <w:abstractNumId w:val="2"/>
  </w:num>
  <w:num w:numId="8" w16cid:durableId="1234705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125"/>
    <w:rsid w:val="000550CA"/>
    <w:rsid w:val="0008350A"/>
    <w:rsid w:val="0009703B"/>
    <w:rsid w:val="000A7A13"/>
    <w:rsid w:val="000B39F8"/>
    <w:rsid w:val="000B5BBC"/>
    <w:rsid w:val="000D7ED1"/>
    <w:rsid w:val="00170E47"/>
    <w:rsid w:val="00195A76"/>
    <w:rsid w:val="001E519E"/>
    <w:rsid w:val="001F42C7"/>
    <w:rsid w:val="0025243C"/>
    <w:rsid w:val="0025700B"/>
    <w:rsid w:val="00281125"/>
    <w:rsid w:val="0029066D"/>
    <w:rsid w:val="002C2995"/>
    <w:rsid w:val="002C65D3"/>
    <w:rsid w:val="00320113"/>
    <w:rsid w:val="00332B01"/>
    <w:rsid w:val="003E327C"/>
    <w:rsid w:val="004608CE"/>
    <w:rsid w:val="004961AA"/>
    <w:rsid w:val="00510A74"/>
    <w:rsid w:val="00532728"/>
    <w:rsid w:val="0055072E"/>
    <w:rsid w:val="005C5C2E"/>
    <w:rsid w:val="00602F11"/>
    <w:rsid w:val="0060767A"/>
    <w:rsid w:val="00646C7D"/>
    <w:rsid w:val="00653E3D"/>
    <w:rsid w:val="006A6413"/>
    <w:rsid w:val="00710529"/>
    <w:rsid w:val="00750697"/>
    <w:rsid w:val="007D1BD2"/>
    <w:rsid w:val="00814291"/>
    <w:rsid w:val="00856133"/>
    <w:rsid w:val="0085751C"/>
    <w:rsid w:val="00867D85"/>
    <w:rsid w:val="008C0A45"/>
    <w:rsid w:val="008F0679"/>
    <w:rsid w:val="00923623"/>
    <w:rsid w:val="0094320A"/>
    <w:rsid w:val="00991372"/>
    <w:rsid w:val="00995184"/>
    <w:rsid w:val="009C27F8"/>
    <w:rsid w:val="009F01F9"/>
    <w:rsid w:val="00A12FEA"/>
    <w:rsid w:val="00A3767D"/>
    <w:rsid w:val="00A61429"/>
    <w:rsid w:val="00A830B3"/>
    <w:rsid w:val="00A86D80"/>
    <w:rsid w:val="00AB24F1"/>
    <w:rsid w:val="00AE5ADF"/>
    <w:rsid w:val="00B14ED6"/>
    <w:rsid w:val="00B30BBF"/>
    <w:rsid w:val="00B37467"/>
    <w:rsid w:val="00B40B2F"/>
    <w:rsid w:val="00B5273C"/>
    <w:rsid w:val="00B94A17"/>
    <w:rsid w:val="00C2329D"/>
    <w:rsid w:val="00C65C55"/>
    <w:rsid w:val="00C77DB4"/>
    <w:rsid w:val="00C8226D"/>
    <w:rsid w:val="00CA4772"/>
    <w:rsid w:val="00D23549"/>
    <w:rsid w:val="00DB549C"/>
    <w:rsid w:val="00DD756A"/>
    <w:rsid w:val="00DE4330"/>
    <w:rsid w:val="00E06E89"/>
    <w:rsid w:val="00E367A2"/>
    <w:rsid w:val="00EF3E8D"/>
    <w:rsid w:val="00F15C92"/>
    <w:rsid w:val="00F32CCF"/>
    <w:rsid w:val="00F44F3D"/>
    <w:rsid w:val="00F65F68"/>
    <w:rsid w:val="00F81CE9"/>
    <w:rsid w:val="00FA70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5FD7C"/>
  <w15:chartTrackingRefBased/>
  <w15:docId w15:val="{3DCDF38A-6587-4355-83EE-7A747175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A74"/>
  </w:style>
  <w:style w:type="paragraph" w:styleId="Heading1">
    <w:name w:val="heading 1"/>
    <w:basedOn w:val="Normal"/>
    <w:next w:val="Normal"/>
    <w:link w:val="Heading1Char"/>
    <w:uiPriority w:val="9"/>
    <w:qFormat/>
    <w:rsid w:val="0028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125"/>
    <w:rPr>
      <w:rFonts w:eastAsiaTheme="majorEastAsia" w:cstheme="majorBidi"/>
      <w:color w:val="272727" w:themeColor="text1" w:themeTint="D8"/>
    </w:rPr>
  </w:style>
  <w:style w:type="paragraph" w:styleId="Title">
    <w:name w:val="Title"/>
    <w:basedOn w:val="Normal"/>
    <w:next w:val="Normal"/>
    <w:link w:val="TitleChar"/>
    <w:uiPriority w:val="10"/>
    <w:qFormat/>
    <w:rsid w:val="0028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125"/>
    <w:pPr>
      <w:spacing w:before="160"/>
      <w:jc w:val="center"/>
    </w:pPr>
    <w:rPr>
      <w:i/>
      <w:iCs/>
      <w:color w:val="404040" w:themeColor="text1" w:themeTint="BF"/>
    </w:rPr>
  </w:style>
  <w:style w:type="character" w:customStyle="1" w:styleId="QuoteChar">
    <w:name w:val="Quote Char"/>
    <w:basedOn w:val="DefaultParagraphFont"/>
    <w:link w:val="Quote"/>
    <w:uiPriority w:val="29"/>
    <w:rsid w:val="00281125"/>
    <w:rPr>
      <w:i/>
      <w:iCs/>
      <w:color w:val="404040" w:themeColor="text1" w:themeTint="BF"/>
    </w:rPr>
  </w:style>
  <w:style w:type="paragraph" w:styleId="ListParagraph">
    <w:name w:val="List Paragraph"/>
    <w:basedOn w:val="Normal"/>
    <w:uiPriority w:val="34"/>
    <w:qFormat/>
    <w:rsid w:val="00281125"/>
    <w:pPr>
      <w:ind w:left="720"/>
      <w:contextualSpacing/>
    </w:pPr>
  </w:style>
  <w:style w:type="character" w:styleId="IntenseEmphasis">
    <w:name w:val="Intense Emphasis"/>
    <w:basedOn w:val="DefaultParagraphFont"/>
    <w:uiPriority w:val="21"/>
    <w:qFormat/>
    <w:rsid w:val="00281125"/>
    <w:rPr>
      <w:i/>
      <w:iCs/>
      <w:color w:val="2F5496" w:themeColor="accent1" w:themeShade="BF"/>
    </w:rPr>
  </w:style>
  <w:style w:type="paragraph" w:styleId="IntenseQuote">
    <w:name w:val="Intense Quote"/>
    <w:basedOn w:val="Normal"/>
    <w:next w:val="Normal"/>
    <w:link w:val="IntenseQuoteChar"/>
    <w:uiPriority w:val="30"/>
    <w:qFormat/>
    <w:rsid w:val="0028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1125"/>
    <w:rPr>
      <w:i/>
      <w:iCs/>
      <w:color w:val="2F5496" w:themeColor="accent1" w:themeShade="BF"/>
    </w:rPr>
  </w:style>
  <w:style w:type="character" w:styleId="IntenseReference">
    <w:name w:val="Intense Reference"/>
    <w:basedOn w:val="DefaultParagraphFont"/>
    <w:uiPriority w:val="32"/>
    <w:qFormat/>
    <w:rsid w:val="00281125"/>
    <w:rPr>
      <w:b/>
      <w:bCs/>
      <w:smallCaps/>
      <w:color w:val="2F5496" w:themeColor="accent1" w:themeShade="BF"/>
      <w:spacing w:val="5"/>
    </w:rPr>
  </w:style>
  <w:style w:type="table" w:styleId="TableGrid">
    <w:name w:val="Table Grid"/>
    <w:basedOn w:val="TableNormal"/>
    <w:uiPriority w:val="59"/>
    <w:rsid w:val="0075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A7076"/>
    <w:pPr>
      <w:spacing w:line="278" w:lineRule="auto"/>
    </w:pPr>
    <w:rPr>
      <w:rFonts w:ascii="Times New Roman" w:eastAsiaTheme="minorEastAsia" w:hAnsi="Times New Roman" w:cs="Times New Roman"/>
      <w:sz w:val="24"/>
      <w:szCs w:val="24"/>
      <w:lang w:eastAsia="en-IN"/>
    </w:rPr>
  </w:style>
  <w:style w:type="paragraph" w:styleId="Header">
    <w:name w:val="header"/>
    <w:basedOn w:val="Normal"/>
    <w:link w:val="HeaderChar"/>
    <w:uiPriority w:val="99"/>
    <w:unhideWhenUsed/>
    <w:qFormat/>
    <w:rsid w:val="00FA7076"/>
    <w:pPr>
      <w:tabs>
        <w:tab w:val="center" w:pos="4513"/>
        <w:tab w:val="right" w:pos="9026"/>
      </w:tabs>
      <w:spacing w:after="0" w:line="240" w:lineRule="auto"/>
    </w:pPr>
    <w:rPr>
      <w:rFonts w:eastAsiaTheme="minorEastAsia"/>
      <w:sz w:val="24"/>
      <w:szCs w:val="24"/>
      <w:lang w:eastAsia="en-IN"/>
    </w:rPr>
  </w:style>
  <w:style w:type="character" w:customStyle="1" w:styleId="HeaderChar">
    <w:name w:val="Header Char"/>
    <w:basedOn w:val="DefaultParagraphFont"/>
    <w:link w:val="Header"/>
    <w:uiPriority w:val="99"/>
    <w:rsid w:val="00FA7076"/>
    <w:rPr>
      <w:rFonts w:eastAsiaTheme="minorEastAsia"/>
      <w:sz w:val="24"/>
      <w:szCs w:val="24"/>
      <w:lang w:eastAsia="en-IN"/>
    </w:rPr>
  </w:style>
  <w:style w:type="paragraph" w:styleId="Footer">
    <w:name w:val="footer"/>
    <w:basedOn w:val="Normal"/>
    <w:link w:val="FooterChar"/>
    <w:uiPriority w:val="99"/>
    <w:unhideWhenUsed/>
    <w:rsid w:val="00FA7076"/>
    <w:pPr>
      <w:tabs>
        <w:tab w:val="center" w:pos="4513"/>
        <w:tab w:val="right" w:pos="9026"/>
      </w:tabs>
      <w:spacing w:after="0" w:line="240" w:lineRule="auto"/>
    </w:pPr>
    <w:rPr>
      <w:rFonts w:eastAsiaTheme="minorEastAsia"/>
      <w:sz w:val="24"/>
      <w:szCs w:val="24"/>
      <w:lang w:eastAsia="en-IN"/>
    </w:rPr>
  </w:style>
  <w:style w:type="character" w:customStyle="1" w:styleId="FooterChar">
    <w:name w:val="Footer Char"/>
    <w:basedOn w:val="DefaultParagraphFont"/>
    <w:link w:val="Footer"/>
    <w:uiPriority w:val="99"/>
    <w:rsid w:val="00FA7076"/>
    <w:rPr>
      <w:rFonts w:eastAsiaTheme="minorEastAsia"/>
      <w:sz w:val="24"/>
      <w:szCs w:val="24"/>
      <w:lang w:eastAsia="en-IN"/>
    </w:rPr>
  </w:style>
  <w:style w:type="character" w:customStyle="1" w:styleId="mord">
    <w:name w:val="mord"/>
    <w:basedOn w:val="DefaultParagraphFont"/>
    <w:rsid w:val="00B94A17"/>
  </w:style>
  <w:style w:type="character" w:customStyle="1" w:styleId="vlist-s">
    <w:name w:val="vlist-s"/>
    <w:basedOn w:val="DefaultParagraphFont"/>
    <w:rsid w:val="00B94A17"/>
  </w:style>
  <w:style w:type="character" w:customStyle="1" w:styleId="mopen">
    <w:name w:val="mopen"/>
    <w:basedOn w:val="DefaultParagraphFont"/>
    <w:rsid w:val="00B94A17"/>
  </w:style>
  <w:style w:type="character" w:customStyle="1" w:styleId="mpunct">
    <w:name w:val="mpunct"/>
    <w:basedOn w:val="DefaultParagraphFont"/>
    <w:rsid w:val="00B94A17"/>
  </w:style>
  <w:style w:type="character" w:customStyle="1" w:styleId="mclose">
    <w:name w:val="mclose"/>
    <w:basedOn w:val="DefaultParagraphFont"/>
    <w:rsid w:val="00B94A17"/>
  </w:style>
  <w:style w:type="character" w:customStyle="1" w:styleId="mrel">
    <w:name w:val="mrel"/>
    <w:basedOn w:val="DefaultParagraphFont"/>
    <w:rsid w:val="00B94A17"/>
  </w:style>
  <w:style w:type="character" w:styleId="Hyperlink">
    <w:name w:val="Hyperlink"/>
    <w:basedOn w:val="DefaultParagraphFont"/>
    <w:uiPriority w:val="99"/>
    <w:rsid w:val="00F32CCF"/>
    <w:rPr>
      <w:rFonts w:ascii="Liberation Serif" w:eastAsia="Songti SC" w:hAnsi="Liberation Serif" w:cs="Arial Unicode MS"/>
      <w:b w:val="0"/>
      <w:i w:val="0"/>
      <w:caps w:val="0"/>
      <w:smallCaps w:val="0"/>
      <w:strike w:val="0"/>
      <w:dstrike w:val="0"/>
      <w:vanish w:val="0"/>
      <w:color w:val="0000FF"/>
      <w:spacing w:val="0"/>
      <w:w w:val="100"/>
      <w:kern w:val="1"/>
      <w:sz w:val="24"/>
      <w:szCs w:val="24"/>
      <w:u w:val="single"/>
      <w:shd w:val="clear" w:color="auto" w:fill="auto"/>
      <w:vertAlign w:val="baseline"/>
      <w:lang w:val="en-IN"/>
    </w:rPr>
  </w:style>
  <w:style w:type="paragraph" w:styleId="BodyText">
    <w:name w:val="Body Text"/>
    <w:basedOn w:val="Normal"/>
    <w:link w:val="BodyTextChar"/>
    <w:rsid w:val="00F32CCF"/>
    <w:pPr>
      <w:spacing w:after="0" w:line="228" w:lineRule="auto"/>
      <w:ind w:firstLine="288"/>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F32CCF"/>
    <w:rPr>
      <w:rFonts w:ascii="Times New Roman" w:eastAsia="SimSun" w:hAnsi="Times New Roman" w:cs="Times New Roman"/>
      <w:spacing w:val="-1"/>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65642">
      <w:bodyDiv w:val="1"/>
      <w:marLeft w:val="0"/>
      <w:marRight w:val="0"/>
      <w:marTop w:val="0"/>
      <w:marBottom w:val="0"/>
      <w:divBdr>
        <w:top w:val="none" w:sz="0" w:space="0" w:color="auto"/>
        <w:left w:val="none" w:sz="0" w:space="0" w:color="auto"/>
        <w:bottom w:val="none" w:sz="0" w:space="0" w:color="auto"/>
        <w:right w:val="none" w:sz="0" w:space="0" w:color="auto"/>
      </w:divBdr>
    </w:div>
    <w:div w:id="21304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hyperlink" Target="https://doi.org/10.5281/zenodo.13682832" TargetMode="External"/><Relationship Id="rId47" Type="http://schemas.openxmlformats.org/officeDocument/2006/relationships/hyperlink" Target="https://doi.org/10.5281/zenodo.13683746" TargetMode="External"/><Relationship Id="rId63" Type="http://schemas.openxmlformats.org/officeDocument/2006/relationships/hyperlink" Target="https://doi.org/10.5281/zenodo.13684217" TargetMode="External"/><Relationship Id="rId68" Type="http://schemas.openxmlformats.org/officeDocument/2006/relationships/hyperlink" Target="https://doi.org/10.5281/zenodo.13684331" TargetMode="External"/><Relationship Id="rId84" Type="http://schemas.openxmlformats.org/officeDocument/2006/relationships/hyperlink" Target="https://doi.org/10.69889/sqj3vb23" TargetMode="External"/><Relationship Id="rId89" Type="http://schemas.openxmlformats.org/officeDocument/2006/relationships/hyperlink" Target="https://doi.org/10.4018/979-8-3693-7773-4.ch007" TargetMode="Externa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hyperlink" Target="https://arxiv.org/abs/2302.13229" TargetMode="External"/><Relationship Id="rId37" Type="http://schemas.openxmlformats.org/officeDocument/2006/relationships/hyperlink" Target="https://doi.org/10.5281/zenodo.13705855" TargetMode="External"/><Relationship Id="rId53" Type="http://schemas.openxmlformats.org/officeDocument/2006/relationships/hyperlink" Target="https://doi.org/10.5281/zenodo.13683861" TargetMode="External"/><Relationship Id="rId58" Type="http://schemas.openxmlformats.org/officeDocument/2006/relationships/hyperlink" Target="https://doi.org/10.5281/zenodo.13684074" TargetMode="External"/><Relationship Id="rId74" Type="http://schemas.openxmlformats.org/officeDocument/2006/relationships/hyperlink" Target="http://hdl.handle.net/10603/194579" TargetMode="External"/><Relationship Id="rId79" Type="http://schemas.openxmlformats.org/officeDocument/2006/relationships/hyperlink" Target="https://papers.ssrn.com/sol3/papers.cfm?abstract_id=4912797" TargetMode="External"/><Relationship Id="rId5" Type="http://schemas.openxmlformats.org/officeDocument/2006/relationships/webSettings" Target="webSettings.xml"/><Relationship Id="rId90" Type="http://schemas.openxmlformats.org/officeDocument/2006/relationships/hyperlink" Target="https://doi.org/10.5281/zenodo.14060433"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image" Target="media/image2.png"/><Relationship Id="rId30" Type="http://schemas.openxmlformats.org/officeDocument/2006/relationships/hyperlink" Target="https://doi.org/10.5281/zenodo.13683725" TargetMode="External"/><Relationship Id="rId35" Type="http://schemas.openxmlformats.org/officeDocument/2006/relationships/hyperlink" Target="https://www.businessinsider.com/leaders-discuss-ai-technology-transform-company-workflows-unlock-employee-potential-2024-10" TargetMode="External"/><Relationship Id="rId43" Type="http://schemas.openxmlformats.org/officeDocument/2006/relationships/hyperlink" Target="https://doi.org/10.5281/zenodo.13683509" TargetMode="External"/><Relationship Id="rId48" Type="http://schemas.openxmlformats.org/officeDocument/2006/relationships/hyperlink" Target="https://doi.org/10.5281/zenodo.13683760" TargetMode="External"/><Relationship Id="rId56" Type="http://schemas.openxmlformats.org/officeDocument/2006/relationships/hyperlink" Target="https://doi.org/10.5281/zenodo.13683981" TargetMode="External"/><Relationship Id="rId64" Type="http://schemas.openxmlformats.org/officeDocument/2006/relationships/hyperlink" Target="https://doi.org/10.5281/zenodo.13684245" TargetMode="External"/><Relationship Id="rId69" Type="http://schemas.openxmlformats.org/officeDocument/2006/relationships/hyperlink" Target="https://doi.org/10.5281/zenodo.13684360" TargetMode="External"/><Relationship Id="rId77" Type="http://schemas.openxmlformats.org/officeDocument/2006/relationships/hyperlink" Target="https://thinkindiaquarterly.org/index.php/think-india/article/view/10355" TargetMode="External"/><Relationship Id="rId8" Type="http://schemas.openxmlformats.org/officeDocument/2006/relationships/header" Target="header1.xml"/><Relationship Id="rId51" Type="http://schemas.openxmlformats.org/officeDocument/2006/relationships/hyperlink" Target="https://doi.org/10.5281/zenodo.13683814" TargetMode="External"/><Relationship Id="rId72" Type="http://schemas.openxmlformats.org/officeDocument/2006/relationships/hyperlink" Target="https://doi.org/10.32535/ijthap.v4i3.1213" TargetMode="External"/><Relationship Id="rId80" Type="http://schemas.openxmlformats.org/officeDocument/2006/relationships/hyperlink" Target="https://mail.journalppw.com/index.php/jpsp/article/view/10373" TargetMode="External"/><Relationship Id="rId85" Type="http://schemas.openxmlformats.org/officeDocument/2006/relationships/hyperlink" Target="https://doi.org/10.52783/eel.v14i3.1907"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hyperlink" Target="https://www.edsurge.com/news/2024-01-24-the-critical-power-skills-needed-for-the-ai-era" TargetMode="External"/><Relationship Id="rId38" Type="http://schemas.openxmlformats.org/officeDocument/2006/relationships/hyperlink" Target="https://doi.org/10.2174/97898152568331240101" TargetMode="External"/><Relationship Id="rId46" Type="http://schemas.openxmlformats.org/officeDocument/2006/relationships/hyperlink" Target="https://doi.org/10.5281/zenodo.13683725" TargetMode="External"/><Relationship Id="rId59" Type="http://schemas.openxmlformats.org/officeDocument/2006/relationships/hyperlink" Target="https://doi.org/10.5281/zenodo.13684096" TargetMode="External"/><Relationship Id="rId67" Type="http://schemas.openxmlformats.org/officeDocument/2006/relationships/hyperlink" Target="https://doi.org/10.5281/zenodo.13684308" TargetMode="External"/><Relationship Id="rId20" Type="http://schemas.openxmlformats.org/officeDocument/2006/relationships/chart" Target="charts/chart11.xml"/><Relationship Id="rId41" Type="http://schemas.openxmlformats.org/officeDocument/2006/relationships/hyperlink" Target="https://doi.org/10.5281/zenodo.13681608" TargetMode="External"/><Relationship Id="rId54" Type="http://schemas.openxmlformats.org/officeDocument/2006/relationships/hyperlink" Target="https://doi.org/10.5281/zenodo.13683872" TargetMode="External"/><Relationship Id="rId62" Type="http://schemas.openxmlformats.org/officeDocument/2006/relationships/hyperlink" Target="https://doi.org/10.5281/zenodo.13684198" TargetMode="External"/><Relationship Id="rId70" Type="http://schemas.openxmlformats.org/officeDocument/2006/relationships/hyperlink" Target="https://doi.org/10.5281/zenodo.13684386" TargetMode="External"/><Relationship Id="rId75" Type="http://schemas.openxmlformats.org/officeDocument/2006/relationships/hyperlink" Target="https://journals.kozminski.cem-j.org/index.php/pl_cemj/article/view/617" TargetMode="External"/><Relationship Id="rId83" Type="http://schemas.openxmlformats.org/officeDocument/2006/relationships/hyperlink" Target="https://doi.org/10.69889/667gf640" TargetMode="External"/><Relationship Id="rId88" Type="http://schemas.openxmlformats.org/officeDocument/2006/relationships/hyperlink" Target="https://doi.org/10.5281/zenodo.13886924"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image" Target="media/image3.png"/><Relationship Id="rId36" Type="http://schemas.openxmlformats.org/officeDocument/2006/relationships/hyperlink" Target="https://doi.org/10.52783/eel.v14i3.1907" TargetMode="External"/><Relationship Id="rId49" Type="http://schemas.openxmlformats.org/officeDocument/2006/relationships/hyperlink" Target="https://doi.org/10.5281/zenodo.13683782" TargetMode="External"/><Relationship Id="rId57" Type="http://schemas.openxmlformats.org/officeDocument/2006/relationships/hyperlink" Target="https://doi.org/10.5281/zenodo.13684029" TargetMode="External"/><Relationship Id="rId10" Type="http://schemas.openxmlformats.org/officeDocument/2006/relationships/chart" Target="charts/chart1.xml"/><Relationship Id="rId31" Type="http://schemas.openxmlformats.org/officeDocument/2006/relationships/hyperlink" Target="https://doi.org/10.5281/zenodo.13683782" TargetMode="External"/><Relationship Id="rId44" Type="http://schemas.openxmlformats.org/officeDocument/2006/relationships/hyperlink" Target="https://doi.org/10.5281/zenodo.13683657" TargetMode="External"/><Relationship Id="rId52" Type="http://schemas.openxmlformats.org/officeDocument/2006/relationships/hyperlink" Target="https://doi.org/10.5281/zenodo.13683847" TargetMode="External"/><Relationship Id="rId60" Type="http://schemas.openxmlformats.org/officeDocument/2006/relationships/hyperlink" Target="https://doi.org/10.5281/zenodo.13684121" TargetMode="External"/><Relationship Id="rId65" Type="http://schemas.openxmlformats.org/officeDocument/2006/relationships/hyperlink" Target="https://doi.org/10.5281/zenodo.13684264" TargetMode="External"/><Relationship Id="rId73" Type="http://schemas.openxmlformats.org/officeDocument/2006/relationships/hyperlink" Target="https://doi.org/10.32535/jcda.v4i3.1182" TargetMode="External"/><Relationship Id="rId78" Type="http://schemas.openxmlformats.org/officeDocument/2006/relationships/hyperlink" Target="https://doi.org/10.5281/zenodo.13705742" TargetMode="External"/><Relationship Id="rId81" Type="http://schemas.openxmlformats.org/officeDocument/2006/relationships/hyperlink" Target="https://doi.org/10.5281/zenodo.13705463" TargetMode="External"/><Relationship Id="rId86" Type="http://schemas.openxmlformats.org/officeDocument/2006/relationships/hyperlink" Target="https://doi.org/10.69889/667gf640"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hyperlink" Target="https://doi.org/10.69889/667gf640arange" TargetMode="External"/><Relationship Id="rId34" Type="http://schemas.openxmlformats.org/officeDocument/2006/relationships/hyperlink" Target="https://www.businessinsider.com/ai-top-skills-you-need-get-job-2024-7" TargetMode="External"/><Relationship Id="rId50" Type="http://schemas.openxmlformats.org/officeDocument/2006/relationships/hyperlink" Target="https://doi.org/10.5281/zenodo.13683791" TargetMode="External"/><Relationship Id="rId55" Type="http://schemas.openxmlformats.org/officeDocument/2006/relationships/hyperlink" Target="https://doi.org/10.5281/zenodo.13683889" TargetMode="External"/><Relationship Id="rId76" Type="http://schemas.openxmlformats.org/officeDocument/2006/relationships/hyperlink" Target="https://doi.org/10.1109/icacrs55517.2022.10029204" TargetMode="External"/><Relationship Id="rId7" Type="http://schemas.openxmlformats.org/officeDocument/2006/relationships/endnotes" Target="endnotes.xml"/><Relationship Id="rId71" Type="http://schemas.openxmlformats.org/officeDocument/2006/relationships/hyperlink" Target="https://doi.org/10.32535/ijafap.v4i3.1208"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thinkindiaquarterly.org/index.php/think-india/article/view/10355" TargetMode="External"/><Relationship Id="rId24" Type="http://schemas.openxmlformats.org/officeDocument/2006/relationships/chart" Target="charts/chart15.xml"/><Relationship Id="rId40" Type="http://schemas.openxmlformats.org/officeDocument/2006/relationships/hyperlink" Target="https://doi.org/10.5281/zenodo.13675324" TargetMode="External"/><Relationship Id="rId45" Type="http://schemas.openxmlformats.org/officeDocument/2006/relationships/hyperlink" Target="https://doi.org/10.5281/zenodo.13683692" TargetMode="External"/><Relationship Id="rId66" Type="http://schemas.openxmlformats.org/officeDocument/2006/relationships/hyperlink" Target="https://doi.org/10.5281/zenodo.13684275" TargetMode="External"/><Relationship Id="rId87" Type="http://schemas.openxmlformats.org/officeDocument/2006/relationships/hyperlink" Target="https://doi.org/10.52783/eel.v14i3.1907" TargetMode="External"/><Relationship Id="rId61" Type="http://schemas.openxmlformats.org/officeDocument/2006/relationships/hyperlink" Target="https://doi.org/10.5281/zenodo.13684144" TargetMode="External"/><Relationship Id="rId82" Type="http://schemas.openxmlformats.org/officeDocument/2006/relationships/hyperlink" Target="https://doi.org/10.5281/zenodo.13705855" TargetMode="External"/><Relationship Id="rId19" Type="http://schemas.openxmlformats.org/officeDocument/2006/relationships/chart" Target="charts/chart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9dc077afc262e56c/Desktop/Nep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Sheet1!$C$2</c:f>
              <c:strCache>
                <c:ptCount val="1"/>
                <c:pt idx="0">
                  <c:v>Frequency</c:v>
                </c:pt>
              </c:strCache>
            </c:strRef>
          </c:tx>
          <c:invertIfNegative val="0"/>
          <c:dPt>
            <c:idx val="0"/>
            <c:invertIfNegative val="0"/>
            <c:bubble3D val="0"/>
            <c:spPr>
              <a:solidFill>
                <a:schemeClr val="accent6"/>
              </a:solidFill>
              <a:ln>
                <a:noFill/>
              </a:ln>
              <a:effectLst/>
              <a:sp3d/>
            </c:spPr>
            <c:extLst>
              <c:ext xmlns:c16="http://schemas.microsoft.com/office/drawing/2014/chart" uri="{C3380CC4-5D6E-409C-BE32-E72D297353CC}">
                <c16:uniqueId val="{00000001-7AAA-47BD-8FA5-752CFBBB560B}"/>
              </c:ext>
            </c:extLst>
          </c:dPt>
          <c:dPt>
            <c:idx val="1"/>
            <c:invertIfNegative val="0"/>
            <c:bubble3D val="0"/>
            <c:spPr>
              <a:solidFill>
                <a:schemeClr val="accent5"/>
              </a:solidFill>
              <a:ln>
                <a:noFill/>
              </a:ln>
              <a:effectLst/>
              <a:sp3d/>
            </c:spPr>
            <c:extLst>
              <c:ext xmlns:c16="http://schemas.microsoft.com/office/drawing/2014/chart" uri="{C3380CC4-5D6E-409C-BE32-E72D297353CC}">
                <c16:uniqueId val="{00000003-7AAA-47BD-8FA5-752CFBBB560B}"/>
              </c:ext>
            </c:extLst>
          </c:dPt>
          <c:dPt>
            <c:idx val="2"/>
            <c:invertIfNegative val="0"/>
            <c:bubble3D val="0"/>
            <c:spPr>
              <a:solidFill>
                <a:schemeClr val="accent4"/>
              </a:solidFill>
              <a:ln>
                <a:noFill/>
              </a:ln>
              <a:effectLst/>
              <a:sp3d/>
            </c:spPr>
            <c:extLst>
              <c:ext xmlns:c16="http://schemas.microsoft.com/office/drawing/2014/chart" uri="{C3380CC4-5D6E-409C-BE32-E72D297353CC}">
                <c16:uniqueId val="{00000005-7AAA-47BD-8FA5-752CFBBB560B}"/>
              </c:ext>
            </c:extLst>
          </c:dPt>
          <c:dPt>
            <c:idx val="3"/>
            <c:invertIfNegative val="0"/>
            <c:bubble3D val="0"/>
            <c:spPr>
              <a:solidFill>
                <a:schemeClr val="accent6">
                  <a:lumMod val="60000"/>
                </a:schemeClr>
              </a:solidFill>
              <a:ln>
                <a:noFill/>
              </a:ln>
              <a:effectLst/>
              <a:sp3d/>
            </c:spPr>
            <c:extLst>
              <c:ext xmlns:c16="http://schemas.microsoft.com/office/drawing/2014/chart" uri="{C3380CC4-5D6E-409C-BE32-E72D297353CC}">
                <c16:uniqueId val="{00000007-7AAA-47BD-8FA5-752CFBBB560B}"/>
              </c:ext>
            </c:extLst>
          </c:dPt>
          <c:dPt>
            <c:idx val="4"/>
            <c:invertIfNegative val="0"/>
            <c:bubble3D val="0"/>
            <c:spPr>
              <a:solidFill>
                <a:schemeClr val="accent5">
                  <a:lumMod val="60000"/>
                </a:schemeClr>
              </a:solidFill>
              <a:ln>
                <a:noFill/>
              </a:ln>
              <a:effectLst/>
              <a:sp3d/>
            </c:spPr>
            <c:extLst>
              <c:ext xmlns:c16="http://schemas.microsoft.com/office/drawing/2014/chart" uri="{C3380CC4-5D6E-409C-BE32-E72D297353CC}">
                <c16:uniqueId val="{00000009-7AAA-47BD-8FA5-752CFBBB560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Sheet1!$A$3:$B$7</c:f>
              <c:multiLvlStrCache>
                <c:ptCount val="4"/>
                <c:lvl>
                  <c:pt idx="0">
                    <c:v>18-21</c:v>
                  </c:pt>
                  <c:pt idx="1">
                    <c:v>22-25</c:v>
                  </c:pt>
                  <c:pt idx="2">
                    <c:v>26-30</c:v>
                  </c:pt>
                  <c:pt idx="3">
                    <c:v>31-35</c:v>
                  </c:pt>
                </c:lvl>
                <c:lvl>
                  <c:pt idx="0">
                    <c:v>Valid</c:v>
                  </c:pt>
                </c:lvl>
              </c:multiLvlStrCache>
            </c:multiLvlStrRef>
          </c:cat>
          <c:val>
            <c:numRef>
              <c:f>Sheet1!$C$3:$C$7</c:f>
              <c:numCache>
                <c:formatCode>General</c:formatCode>
                <c:ptCount val="5"/>
                <c:pt idx="0">
                  <c:v>88</c:v>
                </c:pt>
                <c:pt idx="1">
                  <c:v>18</c:v>
                </c:pt>
                <c:pt idx="2">
                  <c:v>16</c:v>
                </c:pt>
                <c:pt idx="3">
                  <c:v>16</c:v>
                </c:pt>
              </c:numCache>
            </c:numRef>
          </c:val>
          <c:shape val="cylinder"/>
          <c:extLst>
            <c:ext xmlns:c16="http://schemas.microsoft.com/office/drawing/2014/chart" uri="{C3380CC4-5D6E-409C-BE32-E72D297353CC}">
              <c16:uniqueId val="{0000000A-7AAA-47BD-8FA5-752CFBBB560B}"/>
            </c:ext>
          </c:extLst>
        </c:ser>
        <c:dLbls>
          <c:showLegendKey val="0"/>
          <c:showVal val="0"/>
          <c:showCatName val="0"/>
          <c:showSerName val="0"/>
          <c:showPercent val="0"/>
          <c:showBubbleSize val="0"/>
        </c:dLbls>
        <c:gapWidth val="150"/>
        <c:shape val="box"/>
        <c:axId val="652383711"/>
        <c:axId val="652381791"/>
        <c:axId val="0"/>
      </c:bar3DChart>
      <c:catAx>
        <c:axId val="6523837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81791"/>
        <c:crosses val="autoZero"/>
        <c:auto val="1"/>
        <c:lblAlgn val="ctr"/>
        <c:lblOffset val="100"/>
        <c:noMultiLvlLbl val="0"/>
      </c:catAx>
      <c:valAx>
        <c:axId val="652381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837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Comparison of  financial products before choosing</a:t>
            </a:r>
            <a:endParaRPr lang="en-US"/>
          </a:p>
        </c:rich>
      </c:tx>
      <c:layout>
        <c:manualLayout>
          <c:xMode val="edge"/>
          <c:yMode val="edge"/>
          <c:x val="0.19683333333333333"/>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Sheet1!$T$41</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A20E-427D-BB73-5CAD12EB502C}"/>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A20E-427D-BB73-5CAD12EB502C}"/>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A20E-427D-BB73-5CAD12EB502C}"/>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A20E-427D-BB73-5CAD12EB502C}"/>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A20E-427D-BB73-5CAD12EB502C}"/>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A20E-427D-BB73-5CAD12EB50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Sheet1!$R$42:$S$47</c:f>
              <c:multiLvlStrCache>
                <c:ptCount val="5"/>
                <c:lvl>
                  <c:pt idx="0">
                    <c:v>1</c:v>
                  </c:pt>
                  <c:pt idx="1">
                    <c:v>2</c:v>
                  </c:pt>
                  <c:pt idx="2">
                    <c:v>3</c:v>
                  </c:pt>
                  <c:pt idx="3">
                    <c:v>4</c:v>
                  </c:pt>
                  <c:pt idx="4">
                    <c:v>5</c:v>
                  </c:pt>
                </c:lvl>
                <c:lvl>
                  <c:pt idx="0">
                    <c:v>Valid</c:v>
                  </c:pt>
                </c:lvl>
              </c:multiLvlStrCache>
            </c:multiLvlStrRef>
          </c:cat>
          <c:val>
            <c:numRef>
              <c:f>Sheet1!$T$42:$T$47</c:f>
              <c:numCache>
                <c:formatCode>General</c:formatCode>
                <c:ptCount val="6"/>
                <c:pt idx="0">
                  <c:v>6</c:v>
                </c:pt>
                <c:pt idx="1">
                  <c:v>18</c:v>
                </c:pt>
                <c:pt idx="2">
                  <c:v>36</c:v>
                </c:pt>
                <c:pt idx="3">
                  <c:v>54</c:v>
                </c:pt>
                <c:pt idx="4">
                  <c:v>24</c:v>
                </c:pt>
              </c:numCache>
            </c:numRef>
          </c:val>
          <c:shape val="cylinder"/>
          <c:extLst>
            <c:ext xmlns:c16="http://schemas.microsoft.com/office/drawing/2014/chart" uri="{C3380CC4-5D6E-409C-BE32-E72D297353CC}">
              <c16:uniqueId val="{0000000C-A20E-427D-BB73-5CAD12EB502C}"/>
            </c:ext>
          </c:extLst>
        </c:ser>
        <c:dLbls>
          <c:showLegendKey val="0"/>
          <c:showVal val="0"/>
          <c:showCatName val="0"/>
          <c:showSerName val="0"/>
          <c:showPercent val="0"/>
          <c:showBubbleSize val="0"/>
        </c:dLbls>
        <c:gapWidth val="150"/>
        <c:shape val="box"/>
        <c:axId val="2116800431"/>
        <c:axId val="2116798031"/>
        <c:axId val="0"/>
      </c:bar3DChart>
      <c:catAx>
        <c:axId val="21168004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798031"/>
        <c:crosses val="autoZero"/>
        <c:auto val="1"/>
        <c:lblAlgn val="ctr"/>
        <c:lblOffset val="100"/>
        <c:noMultiLvlLbl val="0"/>
      </c:catAx>
      <c:valAx>
        <c:axId val="2116798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8004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Meaning of higher risk Investment</a:t>
            </a:r>
            <a:r>
              <a:rPr lang="en-IN"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Sheet1!$C$57</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4469-411B-A2BD-B8F3D72442E7}"/>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4469-411B-A2BD-B8F3D72442E7}"/>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4469-411B-A2BD-B8F3D72442E7}"/>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4469-411B-A2BD-B8F3D72442E7}"/>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4469-411B-A2BD-B8F3D72442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Sheet1!$A$58:$B$62</c:f>
              <c:multiLvlStrCache>
                <c:ptCount val="4"/>
                <c:lvl>
                  <c:pt idx="0">
                    <c:v>Higher Return</c:v>
                  </c:pt>
                  <c:pt idx="1">
                    <c:v>Guranteed Loss</c:v>
                  </c:pt>
                  <c:pt idx="2">
                    <c:v>No Impact</c:v>
                  </c:pt>
                  <c:pt idx="3">
                    <c:v>Low Return</c:v>
                  </c:pt>
                </c:lvl>
                <c:lvl>
                  <c:pt idx="0">
                    <c:v>Valid</c:v>
                  </c:pt>
                </c:lvl>
              </c:multiLvlStrCache>
            </c:multiLvlStrRef>
          </c:cat>
          <c:val>
            <c:numRef>
              <c:f>Sheet1!$C$58:$C$62</c:f>
              <c:numCache>
                <c:formatCode>General</c:formatCode>
                <c:ptCount val="5"/>
                <c:pt idx="0">
                  <c:v>18</c:v>
                </c:pt>
                <c:pt idx="1">
                  <c:v>108</c:v>
                </c:pt>
                <c:pt idx="2">
                  <c:v>10</c:v>
                </c:pt>
                <c:pt idx="3">
                  <c:v>2</c:v>
                </c:pt>
              </c:numCache>
            </c:numRef>
          </c:val>
          <c:shape val="cylinder"/>
          <c:extLst>
            <c:ext xmlns:c16="http://schemas.microsoft.com/office/drawing/2014/chart" uri="{C3380CC4-5D6E-409C-BE32-E72D297353CC}">
              <c16:uniqueId val="{0000000A-4469-411B-A2BD-B8F3D72442E7}"/>
            </c:ext>
          </c:extLst>
        </c:ser>
        <c:dLbls>
          <c:showLegendKey val="0"/>
          <c:showVal val="0"/>
          <c:showCatName val="0"/>
          <c:showSerName val="0"/>
          <c:showPercent val="0"/>
          <c:showBubbleSize val="0"/>
        </c:dLbls>
        <c:gapWidth val="150"/>
        <c:shape val="box"/>
        <c:axId val="111690063"/>
        <c:axId val="111687663"/>
        <c:axId val="0"/>
      </c:bar3DChart>
      <c:catAx>
        <c:axId val="1116900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87663"/>
        <c:crosses val="autoZero"/>
        <c:auto val="1"/>
        <c:lblAlgn val="ctr"/>
        <c:lblOffset val="100"/>
        <c:noMultiLvlLbl val="0"/>
      </c:catAx>
      <c:valAx>
        <c:axId val="111687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900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Low risk investment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Sheet1!$C$65</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42A2-413C-8A82-908E74472DAD}"/>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42A2-413C-8A82-908E74472DAD}"/>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42A2-413C-8A82-908E74472DAD}"/>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42A2-413C-8A82-908E74472DAD}"/>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42A2-413C-8A82-908E74472D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Sheet1!$A$66:$B$70</c:f>
              <c:multiLvlStrCache>
                <c:ptCount val="4"/>
                <c:lvl>
                  <c:pt idx="0">
                    <c:v>Stock Market</c:v>
                  </c:pt>
                  <c:pt idx="1">
                    <c:v>Real Estate</c:v>
                  </c:pt>
                  <c:pt idx="2">
                    <c:v>Fixed Deposit</c:v>
                  </c:pt>
                  <c:pt idx="3">
                    <c:v>Cryptocurrency</c:v>
                  </c:pt>
                </c:lvl>
                <c:lvl>
                  <c:pt idx="0">
                    <c:v>Valid</c:v>
                  </c:pt>
                </c:lvl>
              </c:multiLvlStrCache>
            </c:multiLvlStrRef>
          </c:cat>
          <c:val>
            <c:numRef>
              <c:f>Sheet1!$C$66:$C$70</c:f>
              <c:numCache>
                <c:formatCode>General</c:formatCode>
                <c:ptCount val="5"/>
                <c:pt idx="0">
                  <c:v>68</c:v>
                </c:pt>
                <c:pt idx="1">
                  <c:v>24</c:v>
                </c:pt>
                <c:pt idx="2">
                  <c:v>8</c:v>
                </c:pt>
                <c:pt idx="3">
                  <c:v>38</c:v>
                </c:pt>
              </c:numCache>
            </c:numRef>
          </c:val>
          <c:shape val="cylinder"/>
          <c:extLst>
            <c:ext xmlns:c16="http://schemas.microsoft.com/office/drawing/2014/chart" uri="{C3380CC4-5D6E-409C-BE32-E72D297353CC}">
              <c16:uniqueId val="{0000000A-42A2-413C-8A82-908E74472DAD}"/>
            </c:ext>
          </c:extLst>
        </c:ser>
        <c:dLbls>
          <c:showLegendKey val="0"/>
          <c:showVal val="0"/>
          <c:showCatName val="0"/>
          <c:showSerName val="0"/>
          <c:showPercent val="0"/>
          <c:showBubbleSize val="0"/>
        </c:dLbls>
        <c:gapWidth val="150"/>
        <c:shape val="box"/>
        <c:axId val="2066561535"/>
        <c:axId val="113314815"/>
        <c:axId val="0"/>
      </c:bar3DChart>
      <c:catAx>
        <c:axId val="20665615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14815"/>
        <c:crosses val="autoZero"/>
        <c:auto val="1"/>
        <c:lblAlgn val="ctr"/>
        <c:lblOffset val="100"/>
        <c:noMultiLvlLbl val="0"/>
      </c:catAx>
      <c:valAx>
        <c:axId val="113314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65615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Investment Preference</a:t>
            </a:r>
          </a:p>
        </c:rich>
      </c:tx>
      <c:layout>
        <c:manualLayout>
          <c:xMode val="edge"/>
          <c:yMode val="edge"/>
          <c:x val="0.428624890638670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Sheet1!$D$87</c:f>
              <c:strCache>
                <c:ptCount val="1"/>
                <c:pt idx="0">
                  <c:v>Percent</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6CE5-464C-B47D-3981E12FD124}"/>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6CE5-464C-B47D-3981E12FD124}"/>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6CE5-464C-B47D-3981E12FD124}"/>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6CE5-464C-B47D-3981E12FD124}"/>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6CE5-464C-B47D-3981E12FD124}"/>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6CE5-464C-B47D-3981E12FD124}"/>
              </c:ext>
            </c:extLst>
          </c:dPt>
          <c:dPt>
            <c:idx val="6"/>
            <c:invertIfNegative val="0"/>
            <c:bubble3D val="0"/>
            <c:spPr>
              <a:solidFill>
                <a:schemeClr val="accent1">
                  <a:lumMod val="60000"/>
                </a:schemeClr>
              </a:solidFill>
              <a:ln>
                <a:noFill/>
              </a:ln>
              <a:effectLst/>
              <a:sp3d/>
            </c:spPr>
            <c:extLst>
              <c:ext xmlns:c16="http://schemas.microsoft.com/office/drawing/2014/chart" uri="{C3380CC4-5D6E-409C-BE32-E72D297353CC}">
                <c16:uniqueId val="{0000000D-6CE5-464C-B47D-3981E12FD124}"/>
              </c:ext>
            </c:extLst>
          </c:dPt>
          <c:dPt>
            <c:idx val="7"/>
            <c:invertIfNegative val="0"/>
            <c:bubble3D val="0"/>
            <c:spPr>
              <a:solidFill>
                <a:schemeClr val="accent2">
                  <a:lumMod val="60000"/>
                </a:schemeClr>
              </a:solidFill>
              <a:ln>
                <a:noFill/>
              </a:ln>
              <a:effectLst/>
              <a:sp3d/>
            </c:spPr>
            <c:extLst>
              <c:ext xmlns:c16="http://schemas.microsoft.com/office/drawing/2014/chart" uri="{C3380CC4-5D6E-409C-BE32-E72D297353CC}">
                <c16:uniqueId val="{0000000F-6CE5-464C-B47D-3981E12FD124}"/>
              </c:ext>
            </c:extLst>
          </c:dPt>
          <c:dPt>
            <c:idx val="8"/>
            <c:invertIfNegative val="0"/>
            <c:bubble3D val="0"/>
            <c:spPr>
              <a:solidFill>
                <a:schemeClr val="accent3">
                  <a:lumMod val="60000"/>
                </a:schemeClr>
              </a:solidFill>
              <a:ln>
                <a:noFill/>
              </a:ln>
              <a:effectLst/>
              <a:sp3d/>
            </c:spPr>
            <c:extLst>
              <c:ext xmlns:c16="http://schemas.microsoft.com/office/drawing/2014/chart" uri="{C3380CC4-5D6E-409C-BE32-E72D297353CC}">
                <c16:uniqueId val="{00000011-6CE5-464C-B47D-3981E12FD124}"/>
              </c:ext>
            </c:extLst>
          </c:dPt>
          <c:dPt>
            <c:idx val="9"/>
            <c:invertIfNegative val="0"/>
            <c:bubble3D val="0"/>
            <c:spPr>
              <a:solidFill>
                <a:schemeClr val="accent4">
                  <a:lumMod val="60000"/>
                </a:schemeClr>
              </a:solidFill>
              <a:ln>
                <a:noFill/>
              </a:ln>
              <a:effectLst/>
              <a:sp3d/>
            </c:spPr>
            <c:extLst>
              <c:ext xmlns:c16="http://schemas.microsoft.com/office/drawing/2014/chart" uri="{C3380CC4-5D6E-409C-BE32-E72D297353CC}">
                <c16:uniqueId val="{00000013-6CE5-464C-B47D-3981E12FD1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Sheet1!$C$88:$C$97</c:f>
              <c:strCache>
                <c:ptCount val="9"/>
                <c:pt idx="0">
                  <c:v>Savings Account</c:v>
                </c:pt>
                <c:pt idx="1">
                  <c:v>Fixed Account</c:v>
                </c:pt>
                <c:pt idx="2">
                  <c:v>Mutual Funds</c:v>
                </c:pt>
                <c:pt idx="3">
                  <c:v>Stock Market</c:v>
                </c:pt>
                <c:pt idx="4">
                  <c:v>Real Estate</c:v>
                </c:pt>
                <c:pt idx="5">
                  <c:v>Gold</c:v>
                </c:pt>
                <c:pt idx="7">
                  <c:v>Cryptocurrency</c:v>
                </c:pt>
                <c:pt idx="8">
                  <c:v>Other</c:v>
                </c:pt>
              </c:strCache>
            </c:strRef>
          </c:cat>
          <c:val>
            <c:numRef>
              <c:f>Sheet1!$D$88:$D$97</c:f>
              <c:numCache>
                <c:formatCode>General</c:formatCode>
                <c:ptCount val="10"/>
                <c:pt idx="0">
                  <c:v>78</c:v>
                </c:pt>
                <c:pt idx="1">
                  <c:v>60</c:v>
                </c:pt>
                <c:pt idx="2">
                  <c:v>0</c:v>
                </c:pt>
                <c:pt idx="3">
                  <c:v>0</c:v>
                </c:pt>
                <c:pt idx="4">
                  <c:v>0</c:v>
                </c:pt>
                <c:pt idx="5">
                  <c:v>0</c:v>
                </c:pt>
                <c:pt idx="6">
                  <c:v>0</c:v>
                </c:pt>
                <c:pt idx="7">
                  <c:v>0</c:v>
                </c:pt>
                <c:pt idx="8">
                  <c:v>0</c:v>
                </c:pt>
              </c:numCache>
            </c:numRef>
          </c:val>
          <c:shape val="cylinder"/>
          <c:extLst>
            <c:ext xmlns:c16="http://schemas.microsoft.com/office/drawing/2014/chart" uri="{C3380CC4-5D6E-409C-BE32-E72D297353CC}">
              <c16:uniqueId val="{00000014-6CE5-464C-B47D-3981E12FD124}"/>
            </c:ext>
          </c:extLst>
        </c:ser>
        <c:dLbls>
          <c:showLegendKey val="0"/>
          <c:showVal val="0"/>
          <c:showCatName val="0"/>
          <c:showSerName val="0"/>
          <c:showPercent val="0"/>
          <c:showBubbleSize val="0"/>
        </c:dLbls>
        <c:gapWidth val="150"/>
        <c:shape val="box"/>
        <c:axId val="176336063"/>
        <c:axId val="176325503"/>
        <c:axId val="0"/>
      </c:bar3DChart>
      <c:catAx>
        <c:axId val="1763360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25503"/>
        <c:crosses val="autoZero"/>
        <c:auto val="1"/>
        <c:lblAlgn val="ctr"/>
        <c:lblOffset val="100"/>
        <c:noMultiLvlLbl val="0"/>
      </c:catAx>
      <c:valAx>
        <c:axId val="176325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360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t>Primary reason for Investment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Sheet1!$D$111</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2F58-4E50-A0D1-9B3B3C406461}"/>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2F58-4E50-A0D1-9B3B3C406461}"/>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2F58-4E50-A0D1-9B3B3C406461}"/>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2F58-4E50-A0D1-9B3B3C406461}"/>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2F58-4E50-A0D1-9B3B3C4064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Sheet1!$B$112:$C$116</c:f>
              <c:multiLvlStrCache>
                <c:ptCount val="4"/>
                <c:lvl>
                  <c:pt idx="0">
                    <c:v>Retirement Savings</c:v>
                  </c:pt>
                  <c:pt idx="1">
                    <c:v>Emergency Fund</c:v>
                  </c:pt>
                  <c:pt idx="2">
                    <c:v>Wealth Creation</c:v>
                  </c:pt>
                  <c:pt idx="3">
                    <c:v>Peer Influence</c:v>
                  </c:pt>
                </c:lvl>
                <c:lvl>
                  <c:pt idx="0">
                    <c:v>Valid</c:v>
                  </c:pt>
                </c:lvl>
              </c:multiLvlStrCache>
            </c:multiLvlStrRef>
          </c:cat>
          <c:val>
            <c:numRef>
              <c:f>Sheet1!$D$112:$D$116</c:f>
              <c:numCache>
                <c:formatCode>General</c:formatCode>
                <c:ptCount val="5"/>
                <c:pt idx="0">
                  <c:v>32</c:v>
                </c:pt>
                <c:pt idx="1">
                  <c:v>44</c:v>
                </c:pt>
                <c:pt idx="2">
                  <c:v>10</c:v>
                </c:pt>
                <c:pt idx="3">
                  <c:v>52</c:v>
                </c:pt>
              </c:numCache>
            </c:numRef>
          </c:val>
          <c:shape val="cylinder"/>
          <c:extLst>
            <c:ext xmlns:c16="http://schemas.microsoft.com/office/drawing/2014/chart" uri="{C3380CC4-5D6E-409C-BE32-E72D297353CC}">
              <c16:uniqueId val="{0000000A-2F58-4E50-A0D1-9B3B3C406461}"/>
            </c:ext>
          </c:extLst>
        </c:ser>
        <c:dLbls>
          <c:showLegendKey val="0"/>
          <c:showVal val="0"/>
          <c:showCatName val="0"/>
          <c:showSerName val="0"/>
          <c:showPercent val="0"/>
          <c:showBubbleSize val="0"/>
        </c:dLbls>
        <c:gapWidth val="150"/>
        <c:shape val="box"/>
        <c:axId val="171985967"/>
        <c:axId val="171989327"/>
        <c:axId val="0"/>
      </c:bar3DChart>
      <c:catAx>
        <c:axId val="1719859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989327"/>
        <c:crosses val="autoZero"/>
        <c:auto val="1"/>
        <c:lblAlgn val="ctr"/>
        <c:lblOffset val="100"/>
        <c:noMultiLvlLbl val="0"/>
      </c:catAx>
      <c:valAx>
        <c:axId val="171989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9859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Financial</a:t>
            </a:r>
            <a:r>
              <a:rPr lang="en-US" b="1" baseline="0"/>
              <a:t> </a:t>
            </a:r>
            <a:br>
              <a:rPr lang="en-US" b="1" baseline="0"/>
            </a:br>
            <a:r>
              <a:rPr lang="en-US" b="1" baseline="0"/>
              <a:t>planning</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Sheet1!$C$119</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0068-461F-A065-2B9EB4E35635}"/>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0068-461F-A065-2B9EB4E35635}"/>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0068-461F-A065-2B9EB4E35635}"/>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0068-461F-A065-2B9EB4E35635}"/>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0068-461F-A065-2B9EB4E35635}"/>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0068-461F-A065-2B9EB4E356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Sheet1!$A$120:$B$125</c:f>
              <c:multiLvlStrCache>
                <c:ptCount val="5"/>
                <c:lvl>
                  <c:pt idx="0">
                    <c:v>Strongly Disagree</c:v>
                  </c:pt>
                  <c:pt idx="1">
                    <c:v>Disagree</c:v>
                  </c:pt>
                  <c:pt idx="2">
                    <c:v>Neutral</c:v>
                  </c:pt>
                  <c:pt idx="3">
                    <c:v>Agree</c:v>
                  </c:pt>
                  <c:pt idx="4">
                    <c:v>Strongly Agree</c:v>
                  </c:pt>
                </c:lvl>
                <c:lvl>
                  <c:pt idx="0">
                    <c:v>Valid</c:v>
                  </c:pt>
                </c:lvl>
              </c:multiLvlStrCache>
            </c:multiLvlStrRef>
          </c:cat>
          <c:val>
            <c:numRef>
              <c:f>Sheet1!$C$120:$C$125</c:f>
              <c:numCache>
                <c:formatCode>General</c:formatCode>
                <c:ptCount val="6"/>
                <c:pt idx="0">
                  <c:v>16</c:v>
                </c:pt>
                <c:pt idx="1">
                  <c:v>28</c:v>
                </c:pt>
                <c:pt idx="2">
                  <c:v>44</c:v>
                </c:pt>
                <c:pt idx="3">
                  <c:v>6</c:v>
                </c:pt>
                <c:pt idx="4">
                  <c:v>44</c:v>
                </c:pt>
              </c:numCache>
            </c:numRef>
          </c:val>
          <c:shape val="cylinder"/>
          <c:extLst>
            <c:ext xmlns:c16="http://schemas.microsoft.com/office/drawing/2014/chart" uri="{C3380CC4-5D6E-409C-BE32-E72D297353CC}">
              <c16:uniqueId val="{0000000C-0068-461F-A065-2B9EB4E35635}"/>
            </c:ext>
          </c:extLst>
        </c:ser>
        <c:dLbls>
          <c:showLegendKey val="0"/>
          <c:showVal val="0"/>
          <c:showCatName val="0"/>
          <c:showSerName val="0"/>
          <c:showPercent val="0"/>
          <c:showBubbleSize val="0"/>
        </c:dLbls>
        <c:gapWidth val="150"/>
        <c:shape val="box"/>
        <c:axId val="66622367"/>
        <c:axId val="66622847"/>
        <c:axId val="0"/>
      </c:bar3DChart>
      <c:catAx>
        <c:axId val="666223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2847"/>
        <c:crosses val="autoZero"/>
        <c:auto val="1"/>
        <c:lblAlgn val="ctr"/>
        <c:lblOffset val="100"/>
        <c:noMultiLvlLbl val="0"/>
      </c:catAx>
      <c:valAx>
        <c:axId val="6662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23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Starting of Investment from Young age</a:t>
            </a:r>
            <a:r>
              <a:rPr lang="en-IN" sz="1400" b="0" i="0" u="none" strike="noStrike" baseline="0">
                <a:effectLst/>
              </a:rPr>
              <a:t> </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Sheet1!$C$128</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FF00-4110-AF74-93F8C9D99371}"/>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FF00-4110-AF74-93F8C9D99371}"/>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FF00-4110-AF74-93F8C9D99371}"/>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FF00-4110-AF74-93F8C9D99371}"/>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FF00-4110-AF74-93F8C9D99371}"/>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FF00-4110-AF74-93F8C9D993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Sheet1!$A$129:$B$134</c:f>
              <c:multiLvlStrCache>
                <c:ptCount val="5"/>
                <c:lvl>
                  <c:pt idx="0">
                    <c:v>Strongly Disagree</c:v>
                  </c:pt>
                  <c:pt idx="1">
                    <c:v>Disagree</c:v>
                  </c:pt>
                  <c:pt idx="2">
                    <c:v>Neutral</c:v>
                  </c:pt>
                  <c:pt idx="3">
                    <c:v>Agree</c:v>
                  </c:pt>
                  <c:pt idx="4">
                    <c:v>Strongly Agree</c:v>
                  </c:pt>
                </c:lvl>
                <c:lvl>
                  <c:pt idx="0">
                    <c:v>Valid</c:v>
                  </c:pt>
                </c:lvl>
              </c:multiLvlStrCache>
            </c:multiLvlStrRef>
          </c:cat>
          <c:val>
            <c:numRef>
              <c:f>Sheet1!$C$129:$C$134</c:f>
              <c:numCache>
                <c:formatCode>General</c:formatCode>
                <c:ptCount val="6"/>
                <c:pt idx="0">
                  <c:v>4</c:v>
                </c:pt>
                <c:pt idx="1">
                  <c:v>2</c:v>
                </c:pt>
                <c:pt idx="2">
                  <c:v>20</c:v>
                </c:pt>
                <c:pt idx="3">
                  <c:v>40</c:v>
                </c:pt>
                <c:pt idx="4">
                  <c:v>72</c:v>
                </c:pt>
              </c:numCache>
            </c:numRef>
          </c:val>
          <c:shape val="cylinder"/>
          <c:extLst>
            <c:ext xmlns:c16="http://schemas.microsoft.com/office/drawing/2014/chart" uri="{C3380CC4-5D6E-409C-BE32-E72D297353CC}">
              <c16:uniqueId val="{0000000C-FF00-4110-AF74-93F8C9D99371}"/>
            </c:ext>
          </c:extLst>
        </c:ser>
        <c:dLbls>
          <c:showLegendKey val="0"/>
          <c:showVal val="0"/>
          <c:showCatName val="0"/>
          <c:showSerName val="0"/>
          <c:showPercent val="0"/>
          <c:showBubbleSize val="0"/>
        </c:dLbls>
        <c:gapWidth val="150"/>
        <c:shape val="box"/>
        <c:axId val="171967615"/>
        <c:axId val="171978175"/>
        <c:axId val="0"/>
      </c:bar3DChart>
      <c:catAx>
        <c:axId val="1719676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978175"/>
        <c:crosses val="autoZero"/>
        <c:auto val="1"/>
        <c:lblAlgn val="ctr"/>
        <c:lblOffset val="100"/>
        <c:noMultiLvlLbl val="0"/>
      </c:catAx>
      <c:valAx>
        <c:axId val="17197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9676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Confidence about making Financial Decisions</a:t>
            </a:r>
            <a:r>
              <a:rPr lang="en-IN" sz="1400" b="0" i="0" u="none" strike="noStrike" baseline="0">
                <a:effectLst/>
              </a:rPr>
              <a:t> </a:t>
            </a:r>
            <a:endParaRPr lang="en-US"/>
          </a:p>
        </c:rich>
      </c:tx>
      <c:layout>
        <c:manualLayout>
          <c:xMode val="edge"/>
          <c:yMode val="edge"/>
          <c:x val="0.25679155730533682"/>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Sheet1!$C$137</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2CC3-4DF1-B1C6-7555CDC754D9}"/>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2CC3-4DF1-B1C6-7555CDC754D9}"/>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2CC3-4DF1-B1C6-7555CDC754D9}"/>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2CC3-4DF1-B1C6-7555CDC754D9}"/>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2CC3-4DF1-B1C6-7555CDC754D9}"/>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2CC3-4DF1-B1C6-7555CDC754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Sheet1!$A$138:$B$143</c:f>
              <c:multiLvlStrCache>
                <c:ptCount val="5"/>
                <c:lvl>
                  <c:pt idx="0">
                    <c:v>Strongly Disagree</c:v>
                  </c:pt>
                  <c:pt idx="1">
                    <c:v>Disagree</c:v>
                  </c:pt>
                  <c:pt idx="2">
                    <c:v>Neutral</c:v>
                  </c:pt>
                  <c:pt idx="3">
                    <c:v>Agree</c:v>
                  </c:pt>
                  <c:pt idx="4">
                    <c:v>Strongly Agree</c:v>
                  </c:pt>
                </c:lvl>
                <c:lvl>
                  <c:pt idx="0">
                    <c:v>Valid</c:v>
                  </c:pt>
                </c:lvl>
              </c:multiLvlStrCache>
            </c:multiLvlStrRef>
          </c:cat>
          <c:val>
            <c:numRef>
              <c:f>Sheet1!$C$138:$C$143</c:f>
              <c:numCache>
                <c:formatCode>General</c:formatCode>
                <c:ptCount val="6"/>
                <c:pt idx="0">
                  <c:v>4</c:v>
                </c:pt>
                <c:pt idx="1">
                  <c:v>4</c:v>
                </c:pt>
                <c:pt idx="2">
                  <c:v>24</c:v>
                </c:pt>
                <c:pt idx="3">
                  <c:v>60</c:v>
                </c:pt>
                <c:pt idx="4">
                  <c:v>46</c:v>
                </c:pt>
              </c:numCache>
            </c:numRef>
          </c:val>
          <c:shape val="cylinder"/>
          <c:extLst>
            <c:ext xmlns:c16="http://schemas.microsoft.com/office/drawing/2014/chart" uri="{C3380CC4-5D6E-409C-BE32-E72D297353CC}">
              <c16:uniqueId val="{0000000C-2CC3-4DF1-B1C6-7555CDC754D9}"/>
            </c:ext>
          </c:extLst>
        </c:ser>
        <c:dLbls>
          <c:showLegendKey val="0"/>
          <c:showVal val="0"/>
          <c:showCatName val="0"/>
          <c:showSerName val="0"/>
          <c:showPercent val="0"/>
          <c:showBubbleSize val="0"/>
        </c:dLbls>
        <c:gapWidth val="150"/>
        <c:shape val="box"/>
        <c:axId val="147673567"/>
        <c:axId val="147676447"/>
        <c:axId val="0"/>
      </c:bar3DChart>
      <c:catAx>
        <c:axId val="1476735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76447"/>
        <c:crosses val="autoZero"/>
        <c:auto val="1"/>
        <c:lblAlgn val="ctr"/>
        <c:lblOffset val="100"/>
        <c:noMultiLvlLbl val="0"/>
      </c:catAx>
      <c:valAx>
        <c:axId val="14767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735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Gender</a:t>
            </a:r>
          </a:p>
        </c:rich>
      </c:tx>
      <c:layout>
        <c:manualLayout>
          <c:xMode val="edge"/>
          <c:yMode val="edge"/>
          <c:x val="0.406416666666666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1"/>
        <c:ser>
          <c:idx val="0"/>
          <c:order val="0"/>
          <c:tx>
            <c:strRef>
              <c:f>Sheet1!$C$15</c:f>
              <c:strCache>
                <c:ptCount val="1"/>
                <c:pt idx="0">
                  <c:v>Frequency</c:v>
                </c:pt>
              </c:strCache>
            </c:strRef>
          </c:tx>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63A4-46CF-87B7-7BF1B3D895F3}"/>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63A4-46CF-87B7-7BF1B3D895F3}"/>
              </c:ext>
            </c:extLst>
          </c:dPt>
          <c:dPt>
            <c:idx val="2"/>
            <c:invertIfNegative val="0"/>
            <c:bubble3D val="0"/>
            <c:spPr>
              <a:solidFill>
                <a:schemeClr val="accent6"/>
              </a:solidFill>
              <a:ln>
                <a:noFill/>
              </a:ln>
              <a:effectLst/>
              <a:sp3d/>
            </c:spPr>
            <c:extLst>
              <c:ext xmlns:c16="http://schemas.microsoft.com/office/drawing/2014/chart" uri="{C3380CC4-5D6E-409C-BE32-E72D297353CC}">
                <c16:uniqueId val="{00000005-63A4-46CF-87B7-7BF1B3D895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Sheet1!$A$16:$B$18</c:f>
              <c:multiLvlStrCache>
                <c:ptCount val="2"/>
                <c:lvl>
                  <c:pt idx="0">
                    <c:v>Male</c:v>
                  </c:pt>
                  <c:pt idx="1">
                    <c:v>Female</c:v>
                  </c:pt>
                </c:lvl>
                <c:lvl>
                  <c:pt idx="0">
                    <c:v>Valid</c:v>
                  </c:pt>
                </c:lvl>
              </c:multiLvlStrCache>
            </c:multiLvlStrRef>
          </c:cat>
          <c:val>
            <c:numRef>
              <c:f>Sheet1!$C$16:$C$18</c:f>
              <c:numCache>
                <c:formatCode>General</c:formatCode>
                <c:ptCount val="3"/>
                <c:pt idx="0">
                  <c:v>80</c:v>
                </c:pt>
                <c:pt idx="1">
                  <c:v>58</c:v>
                </c:pt>
              </c:numCache>
            </c:numRef>
          </c:val>
          <c:shape val="cylinder"/>
          <c:extLst>
            <c:ext xmlns:c16="http://schemas.microsoft.com/office/drawing/2014/chart" uri="{C3380CC4-5D6E-409C-BE32-E72D297353CC}">
              <c16:uniqueId val="{00000006-63A4-46CF-87B7-7BF1B3D895F3}"/>
            </c:ext>
          </c:extLst>
        </c:ser>
        <c:dLbls>
          <c:showLegendKey val="0"/>
          <c:showVal val="0"/>
          <c:showCatName val="0"/>
          <c:showSerName val="0"/>
          <c:showPercent val="0"/>
          <c:showBubbleSize val="0"/>
        </c:dLbls>
        <c:gapWidth val="150"/>
        <c:shape val="box"/>
        <c:axId val="2119676704"/>
        <c:axId val="2119679104"/>
        <c:axId val="0"/>
      </c:bar3DChart>
      <c:catAx>
        <c:axId val="2119676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679104"/>
        <c:crosses val="autoZero"/>
        <c:auto val="1"/>
        <c:lblAlgn val="ctr"/>
        <c:lblOffset val="100"/>
        <c:noMultiLvlLbl val="0"/>
      </c:catAx>
      <c:valAx>
        <c:axId val="21196791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676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Education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Sheet1!$C$29</c:f>
              <c:strCache>
                <c:ptCount val="1"/>
                <c:pt idx="0">
                  <c:v>Frequency</c:v>
                </c:pt>
              </c:strCache>
            </c:strRef>
          </c:tx>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6247-4ACB-B52C-62CB1C8689A3}"/>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6247-4ACB-B52C-62CB1C8689A3}"/>
              </c:ext>
            </c:extLst>
          </c:dPt>
          <c:dPt>
            <c:idx val="2"/>
            <c:invertIfNegative val="0"/>
            <c:bubble3D val="0"/>
            <c:spPr>
              <a:solidFill>
                <a:schemeClr val="accent6"/>
              </a:solidFill>
              <a:ln>
                <a:noFill/>
              </a:ln>
              <a:effectLst/>
              <a:sp3d/>
            </c:spPr>
            <c:extLst>
              <c:ext xmlns:c16="http://schemas.microsoft.com/office/drawing/2014/chart" uri="{C3380CC4-5D6E-409C-BE32-E72D297353CC}">
                <c16:uniqueId val="{00000005-6247-4ACB-B52C-62CB1C8689A3}"/>
              </c:ext>
            </c:extLst>
          </c:dPt>
          <c:cat>
            <c:multiLvlStrRef>
              <c:f>Sheet1!$A$30:$B$32</c:f>
              <c:multiLvlStrCache>
                <c:ptCount val="2"/>
                <c:lvl>
                  <c:pt idx="0">
                    <c:v>High School</c:v>
                  </c:pt>
                  <c:pt idx="1">
                    <c:v>Bachlors Degree</c:v>
                  </c:pt>
                </c:lvl>
                <c:lvl>
                  <c:pt idx="0">
                    <c:v>Valid</c:v>
                  </c:pt>
                </c:lvl>
              </c:multiLvlStrCache>
            </c:multiLvlStrRef>
          </c:cat>
          <c:val>
            <c:numRef>
              <c:f>Sheet1!$C$30:$C$32</c:f>
              <c:numCache>
                <c:formatCode>General</c:formatCode>
                <c:ptCount val="3"/>
                <c:pt idx="0">
                  <c:v>100</c:v>
                </c:pt>
                <c:pt idx="1">
                  <c:v>38</c:v>
                </c:pt>
              </c:numCache>
            </c:numRef>
          </c:val>
          <c:shape val="cylinder"/>
          <c:extLst>
            <c:ext xmlns:c16="http://schemas.microsoft.com/office/drawing/2014/chart" uri="{C3380CC4-5D6E-409C-BE32-E72D297353CC}">
              <c16:uniqueId val="{00000006-6247-4ACB-B52C-62CB1C8689A3}"/>
            </c:ext>
          </c:extLst>
        </c:ser>
        <c:dLbls>
          <c:showLegendKey val="0"/>
          <c:showVal val="0"/>
          <c:showCatName val="0"/>
          <c:showSerName val="0"/>
          <c:showPercent val="0"/>
          <c:showBubbleSize val="0"/>
        </c:dLbls>
        <c:gapWidth val="150"/>
        <c:shape val="box"/>
        <c:axId val="2119019856"/>
        <c:axId val="2119022256"/>
        <c:axId val="0"/>
      </c:bar3DChart>
      <c:catAx>
        <c:axId val="2119019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022256"/>
        <c:crosses val="autoZero"/>
        <c:auto val="1"/>
        <c:lblAlgn val="ctr"/>
        <c:lblOffset val="100"/>
        <c:noMultiLvlLbl val="0"/>
      </c:catAx>
      <c:valAx>
        <c:axId val="211902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019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t>Occupation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Sheet1!$C$39</c:f>
              <c:strCache>
                <c:ptCount val="1"/>
                <c:pt idx="0">
                  <c:v>Frequency</c:v>
                </c:pt>
              </c:strCache>
            </c:strRef>
          </c:tx>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50F9-4316-BAB5-13E4E10AA011}"/>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50F9-4316-BAB5-13E4E10AA011}"/>
              </c:ext>
            </c:extLst>
          </c:dPt>
          <c:dPt>
            <c:idx val="2"/>
            <c:invertIfNegative val="0"/>
            <c:bubble3D val="0"/>
            <c:spPr>
              <a:solidFill>
                <a:schemeClr val="accent6"/>
              </a:solidFill>
              <a:ln>
                <a:noFill/>
              </a:ln>
              <a:effectLst/>
              <a:sp3d/>
            </c:spPr>
            <c:extLst>
              <c:ext xmlns:c16="http://schemas.microsoft.com/office/drawing/2014/chart" uri="{C3380CC4-5D6E-409C-BE32-E72D297353CC}">
                <c16:uniqueId val="{00000005-50F9-4316-BAB5-13E4E10AA011}"/>
              </c:ext>
            </c:extLst>
          </c:dPt>
          <c:dPt>
            <c:idx val="3"/>
            <c:invertIfNegative val="0"/>
            <c:bubble3D val="0"/>
            <c:spPr>
              <a:solidFill>
                <a:schemeClr val="accent2">
                  <a:lumMod val="60000"/>
                </a:schemeClr>
              </a:solidFill>
              <a:ln>
                <a:noFill/>
              </a:ln>
              <a:effectLst/>
              <a:sp3d/>
            </c:spPr>
            <c:extLst>
              <c:ext xmlns:c16="http://schemas.microsoft.com/office/drawing/2014/chart" uri="{C3380CC4-5D6E-409C-BE32-E72D297353CC}">
                <c16:uniqueId val="{00000007-50F9-4316-BAB5-13E4E10AA011}"/>
              </c:ext>
            </c:extLst>
          </c:dPt>
          <c:dPt>
            <c:idx val="4"/>
            <c:invertIfNegative val="0"/>
            <c:bubble3D val="0"/>
            <c:spPr>
              <a:solidFill>
                <a:schemeClr val="accent4">
                  <a:lumMod val="60000"/>
                </a:schemeClr>
              </a:solidFill>
              <a:ln>
                <a:noFill/>
              </a:ln>
              <a:effectLst/>
              <a:sp3d/>
            </c:spPr>
            <c:extLst>
              <c:ext xmlns:c16="http://schemas.microsoft.com/office/drawing/2014/chart" uri="{C3380CC4-5D6E-409C-BE32-E72D297353CC}">
                <c16:uniqueId val="{00000009-50F9-4316-BAB5-13E4E10AA0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Sheet1!$A$40:$B$44</c:f>
              <c:multiLvlStrCache>
                <c:ptCount val="4"/>
                <c:lvl>
                  <c:pt idx="0">
                    <c:v>Student</c:v>
                  </c:pt>
                  <c:pt idx="1">
                    <c:v>Employed</c:v>
                  </c:pt>
                  <c:pt idx="2">
                    <c:v>Self Employed</c:v>
                  </c:pt>
                  <c:pt idx="3">
                    <c:v>Unemployed</c:v>
                  </c:pt>
                </c:lvl>
                <c:lvl>
                  <c:pt idx="0">
                    <c:v>Valid</c:v>
                  </c:pt>
                </c:lvl>
              </c:multiLvlStrCache>
            </c:multiLvlStrRef>
          </c:cat>
          <c:val>
            <c:numRef>
              <c:f>Sheet1!$C$40:$C$44</c:f>
              <c:numCache>
                <c:formatCode>General</c:formatCode>
                <c:ptCount val="5"/>
                <c:pt idx="0">
                  <c:v>98</c:v>
                </c:pt>
                <c:pt idx="1">
                  <c:v>30</c:v>
                </c:pt>
                <c:pt idx="2">
                  <c:v>6</c:v>
                </c:pt>
                <c:pt idx="3">
                  <c:v>4</c:v>
                </c:pt>
              </c:numCache>
            </c:numRef>
          </c:val>
          <c:shape val="cylinder"/>
          <c:extLst>
            <c:ext xmlns:c16="http://schemas.microsoft.com/office/drawing/2014/chart" uri="{C3380CC4-5D6E-409C-BE32-E72D297353CC}">
              <c16:uniqueId val="{0000000A-50F9-4316-BAB5-13E4E10AA011}"/>
            </c:ext>
          </c:extLst>
        </c:ser>
        <c:dLbls>
          <c:showLegendKey val="0"/>
          <c:showVal val="0"/>
          <c:showCatName val="0"/>
          <c:showSerName val="0"/>
          <c:showPercent val="0"/>
          <c:showBubbleSize val="0"/>
        </c:dLbls>
        <c:gapWidth val="150"/>
        <c:shape val="box"/>
        <c:axId val="143622368"/>
        <c:axId val="143624288"/>
        <c:axId val="0"/>
      </c:bar3DChart>
      <c:catAx>
        <c:axId val="143622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24288"/>
        <c:crosses val="autoZero"/>
        <c:auto val="1"/>
        <c:lblAlgn val="ctr"/>
        <c:lblOffset val="100"/>
        <c:noMultiLvlLbl val="0"/>
      </c:catAx>
      <c:valAx>
        <c:axId val="14362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22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Income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Sheet1!$C$49</c:f>
              <c:strCache>
                <c:ptCount val="1"/>
                <c:pt idx="0">
                  <c:v>Frequency</c:v>
                </c:pt>
              </c:strCache>
            </c:strRef>
          </c:tx>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75B0-4949-AEAE-4B1D360BE59A}"/>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75B0-4949-AEAE-4B1D360BE59A}"/>
              </c:ext>
            </c:extLst>
          </c:dPt>
          <c:dPt>
            <c:idx val="2"/>
            <c:invertIfNegative val="0"/>
            <c:bubble3D val="0"/>
            <c:spPr>
              <a:solidFill>
                <a:schemeClr val="accent6"/>
              </a:solidFill>
              <a:ln>
                <a:noFill/>
              </a:ln>
              <a:effectLst/>
              <a:sp3d/>
            </c:spPr>
            <c:extLst>
              <c:ext xmlns:c16="http://schemas.microsoft.com/office/drawing/2014/chart" uri="{C3380CC4-5D6E-409C-BE32-E72D297353CC}">
                <c16:uniqueId val="{00000005-75B0-4949-AEAE-4B1D360BE59A}"/>
              </c:ext>
            </c:extLst>
          </c:dPt>
          <c:dPt>
            <c:idx val="3"/>
            <c:invertIfNegative val="0"/>
            <c:bubble3D val="0"/>
            <c:spPr>
              <a:solidFill>
                <a:schemeClr val="accent2">
                  <a:lumMod val="60000"/>
                </a:schemeClr>
              </a:solidFill>
              <a:ln>
                <a:noFill/>
              </a:ln>
              <a:effectLst/>
              <a:sp3d/>
            </c:spPr>
            <c:extLst>
              <c:ext xmlns:c16="http://schemas.microsoft.com/office/drawing/2014/chart" uri="{C3380CC4-5D6E-409C-BE32-E72D297353CC}">
                <c16:uniqueId val="{00000007-75B0-4949-AEAE-4B1D360BE59A}"/>
              </c:ext>
            </c:extLst>
          </c:dPt>
          <c:dPt>
            <c:idx val="4"/>
            <c:invertIfNegative val="0"/>
            <c:bubble3D val="0"/>
            <c:spPr>
              <a:solidFill>
                <a:schemeClr val="accent4">
                  <a:lumMod val="60000"/>
                </a:schemeClr>
              </a:solidFill>
              <a:ln>
                <a:noFill/>
              </a:ln>
              <a:effectLst/>
              <a:sp3d/>
            </c:spPr>
            <c:extLst>
              <c:ext xmlns:c16="http://schemas.microsoft.com/office/drawing/2014/chart" uri="{C3380CC4-5D6E-409C-BE32-E72D297353CC}">
                <c16:uniqueId val="{00000009-75B0-4949-AEAE-4B1D360BE5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Sheet1!$A$50:$B$54</c:f>
              <c:multiLvlStrCache>
                <c:ptCount val="4"/>
                <c:lvl>
                  <c:pt idx="0">
                    <c:v>No Income</c:v>
                  </c:pt>
                  <c:pt idx="1">
                    <c:v>Below 10000</c:v>
                  </c:pt>
                  <c:pt idx="2">
                    <c:v>10000-25000</c:v>
                  </c:pt>
                  <c:pt idx="3">
                    <c:v>Above 25000</c:v>
                  </c:pt>
                </c:lvl>
                <c:lvl>
                  <c:pt idx="0">
                    <c:v>Valid</c:v>
                  </c:pt>
                </c:lvl>
              </c:multiLvlStrCache>
            </c:multiLvlStrRef>
          </c:cat>
          <c:val>
            <c:numRef>
              <c:f>Sheet1!$C$50:$C$54</c:f>
              <c:numCache>
                <c:formatCode>General</c:formatCode>
                <c:ptCount val="5"/>
                <c:pt idx="0">
                  <c:v>86</c:v>
                </c:pt>
                <c:pt idx="1">
                  <c:v>42</c:v>
                </c:pt>
                <c:pt idx="2">
                  <c:v>8</c:v>
                </c:pt>
                <c:pt idx="3">
                  <c:v>2</c:v>
                </c:pt>
              </c:numCache>
            </c:numRef>
          </c:val>
          <c:shape val="cylinder"/>
          <c:extLst>
            <c:ext xmlns:c16="http://schemas.microsoft.com/office/drawing/2014/chart" uri="{C3380CC4-5D6E-409C-BE32-E72D297353CC}">
              <c16:uniqueId val="{0000000A-75B0-4949-AEAE-4B1D360BE59A}"/>
            </c:ext>
          </c:extLst>
        </c:ser>
        <c:dLbls>
          <c:showLegendKey val="0"/>
          <c:showVal val="0"/>
          <c:showCatName val="0"/>
          <c:showSerName val="0"/>
          <c:showPercent val="0"/>
          <c:showBubbleSize val="0"/>
        </c:dLbls>
        <c:gapWidth val="150"/>
        <c:shape val="box"/>
        <c:axId val="164182736"/>
        <c:axId val="164187056"/>
        <c:axId val="0"/>
      </c:bar3DChart>
      <c:catAx>
        <c:axId val="164182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87056"/>
        <c:crosses val="autoZero"/>
        <c:auto val="1"/>
        <c:lblAlgn val="ctr"/>
        <c:lblOffset val="100"/>
        <c:noMultiLvlLbl val="0"/>
      </c:catAx>
      <c:valAx>
        <c:axId val="16418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82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Indicate level of agreement</a:t>
            </a:r>
            <a:endParaRPr lang="en-US" b="1"/>
          </a:p>
        </c:rich>
      </c:tx>
      <c:layout>
        <c:manualLayout>
          <c:xMode val="edge"/>
          <c:yMode val="edge"/>
          <c:x val="0.28975000000000001"/>
          <c:y val="6.01851851851851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Sheet1!$R$3</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48CF-43B7-85D1-C5A5E0E2DD3E}"/>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48CF-43B7-85D1-C5A5E0E2DD3E}"/>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48CF-43B7-85D1-C5A5E0E2DD3E}"/>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48CF-43B7-85D1-C5A5E0E2DD3E}"/>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48CF-43B7-85D1-C5A5E0E2DD3E}"/>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48CF-43B7-85D1-C5A5E0E2DD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Sheet1!$P$4:$Q$9</c:f>
              <c:multiLvlStrCache>
                <c:ptCount val="5"/>
                <c:lvl>
                  <c:pt idx="0">
                    <c:v>Strongly Disagree</c:v>
                  </c:pt>
                  <c:pt idx="1">
                    <c:v>Disagree</c:v>
                  </c:pt>
                  <c:pt idx="2">
                    <c:v>Neutral</c:v>
                  </c:pt>
                  <c:pt idx="3">
                    <c:v>Agree</c:v>
                  </c:pt>
                  <c:pt idx="4">
                    <c:v>Strongly Agree</c:v>
                  </c:pt>
                </c:lvl>
                <c:lvl>
                  <c:pt idx="0">
                    <c:v>Valid</c:v>
                  </c:pt>
                </c:lvl>
              </c:multiLvlStrCache>
            </c:multiLvlStrRef>
          </c:cat>
          <c:val>
            <c:numRef>
              <c:f>Sheet1!$R$4:$R$9</c:f>
              <c:numCache>
                <c:formatCode>General</c:formatCode>
                <c:ptCount val="6"/>
                <c:pt idx="0">
                  <c:v>52</c:v>
                </c:pt>
                <c:pt idx="1">
                  <c:v>50</c:v>
                </c:pt>
                <c:pt idx="2">
                  <c:v>26</c:v>
                </c:pt>
                <c:pt idx="3">
                  <c:v>6</c:v>
                </c:pt>
                <c:pt idx="4">
                  <c:v>4</c:v>
                </c:pt>
              </c:numCache>
            </c:numRef>
          </c:val>
          <c:shape val="cylinder"/>
          <c:extLst>
            <c:ext xmlns:c16="http://schemas.microsoft.com/office/drawing/2014/chart" uri="{C3380CC4-5D6E-409C-BE32-E72D297353CC}">
              <c16:uniqueId val="{0000000C-48CF-43B7-85D1-C5A5E0E2DD3E}"/>
            </c:ext>
          </c:extLst>
        </c:ser>
        <c:dLbls>
          <c:showLegendKey val="0"/>
          <c:showVal val="0"/>
          <c:showCatName val="0"/>
          <c:showSerName val="0"/>
          <c:showPercent val="0"/>
          <c:showBubbleSize val="0"/>
        </c:dLbls>
        <c:gapWidth val="150"/>
        <c:shape val="box"/>
        <c:axId val="1929923215"/>
        <c:axId val="1929907375"/>
        <c:axId val="0"/>
      </c:bar3DChart>
      <c:catAx>
        <c:axId val="1929923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9907375"/>
        <c:crosses val="autoZero"/>
        <c:auto val="1"/>
        <c:lblAlgn val="ctr"/>
        <c:lblOffset val="100"/>
        <c:noMultiLvlLbl val="0"/>
      </c:catAx>
      <c:valAx>
        <c:axId val="192990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99232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 can differentiate between saving and investing. </a:t>
            </a:r>
            <a:r>
              <a:rPr lang="en-IN"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Sheet1!$S$13</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58F3-4308-8E44-495600EA7072}"/>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58F3-4308-8E44-495600EA7072}"/>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58F3-4308-8E44-495600EA7072}"/>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58F3-4308-8E44-495600EA7072}"/>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58F3-4308-8E44-495600EA7072}"/>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58F3-4308-8E44-495600EA70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Sheet1!$Q$14:$R$19</c:f>
              <c:multiLvlStrCache>
                <c:ptCount val="5"/>
                <c:lvl>
                  <c:pt idx="0">
                    <c:v>1</c:v>
                  </c:pt>
                  <c:pt idx="1">
                    <c:v>2</c:v>
                  </c:pt>
                  <c:pt idx="2">
                    <c:v>3</c:v>
                  </c:pt>
                  <c:pt idx="3">
                    <c:v>4</c:v>
                  </c:pt>
                  <c:pt idx="4">
                    <c:v>5</c:v>
                  </c:pt>
                </c:lvl>
                <c:lvl>
                  <c:pt idx="0">
                    <c:v>Valid</c:v>
                  </c:pt>
                </c:lvl>
              </c:multiLvlStrCache>
            </c:multiLvlStrRef>
          </c:cat>
          <c:val>
            <c:numRef>
              <c:f>Sheet1!$S$14:$S$19</c:f>
              <c:numCache>
                <c:formatCode>General</c:formatCode>
                <c:ptCount val="6"/>
                <c:pt idx="0">
                  <c:v>68</c:v>
                </c:pt>
                <c:pt idx="1">
                  <c:v>40</c:v>
                </c:pt>
                <c:pt idx="2">
                  <c:v>18</c:v>
                </c:pt>
                <c:pt idx="3">
                  <c:v>6</c:v>
                </c:pt>
                <c:pt idx="4">
                  <c:v>6</c:v>
                </c:pt>
              </c:numCache>
            </c:numRef>
          </c:val>
          <c:shape val="cylinder"/>
          <c:extLst>
            <c:ext xmlns:c16="http://schemas.microsoft.com/office/drawing/2014/chart" uri="{C3380CC4-5D6E-409C-BE32-E72D297353CC}">
              <c16:uniqueId val="{0000000C-58F3-4308-8E44-495600EA7072}"/>
            </c:ext>
          </c:extLst>
        </c:ser>
        <c:dLbls>
          <c:showLegendKey val="0"/>
          <c:showVal val="0"/>
          <c:showCatName val="0"/>
          <c:showSerName val="0"/>
          <c:showPercent val="0"/>
          <c:showBubbleSize val="0"/>
        </c:dLbls>
        <c:gapWidth val="150"/>
        <c:shape val="box"/>
        <c:axId val="2116799951"/>
        <c:axId val="2116803311"/>
        <c:axId val="0"/>
      </c:bar3DChart>
      <c:catAx>
        <c:axId val="21167999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803311"/>
        <c:crosses val="autoZero"/>
        <c:auto val="1"/>
        <c:lblAlgn val="ctr"/>
        <c:lblOffset val="100"/>
        <c:noMultiLvlLbl val="0"/>
      </c:catAx>
      <c:valAx>
        <c:axId val="2116803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7999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Track my monthly expenses regularly.</a:t>
            </a:r>
            <a:r>
              <a:rPr lang="en-IN"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Sheet1!$S$22</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CCA0-4DA2-9B8A-BF6750711098}"/>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CCA0-4DA2-9B8A-BF6750711098}"/>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CCA0-4DA2-9B8A-BF6750711098}"/>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CCA0-4DA2-9B8A-BF6750711098}"/>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CCA0-4DA2-9B8A-BF6750711098}"/>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CCA0-4DA2-9B8A-BF67507110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Sheet1!$Q$23:$R$28</c:f>
              <c:multiLvlStrCache>
                <c:ptCount val="5"/>
                <c:lvl>
                  <c:pt idx="0">
                    <c:v>1</c:v>
                  </c:pt>
                  <c:pt idx="1">
                    <c:v>2</c:v>
                  </c:pt>
                  <c:pt idx="2">
                    <c:v>3</c:v>
                  </c:pt>
                  <c:pt idx="3">
                    <c:v>4</c:v>
                  </c:pt>
                  <c:pt idx="4">
                    <c:v>5</c:v>
                  </c:pt>
                </c:lvl>
                <c:lvl>
                  <c:pt idx="0">
                    <c:v>Valid</c:v>
                  </c:pt>
                </c:lvl>
              </c:multiLvlStrCache>
            </c:multiLvlStrRef>
          </c:cat>
          <c:val>
            <c:numRef>
              <c:f>Sheet1!$S$23:$S$28</c:f>
              <c:numCache>
                <c:formatCode>General</c:formatCode>
                <c:ptCount val="6"/>
                <c:pt idx="0">
                  <c:v>14</c:v>
                </c:pt>
                <c:pt idx="1">
                  <c:v>10</c:v>
                </c:pt>
                <c:pt idx="2">
                  <c:v>38</c:v>
                </c:pt>
                <c:pt idx="3">
                  <c:v>58</c:v>
                </c:pt>
                <c:pt idx="4">
                  <c:v>18</c:v>
                </c:pt>
              </c:numCache>
            </c:numRef>
          </c:val>
          <c:shape val="cylinder"/>
          <c:extLst>
            <c:ext xmlns:c16="http://schemas.microsoft.com/office/drawing/2014/chart" uri="{C3380CC4-5D6E-409C-BE32-E72D297353CC}">
              <c16:uniqueId val="{0000000C-CCA0-4DA2-9B8A-BF6750711098}"/>
            </c:ext>
          </c:extLst>
        </c:ser>
        <c:dLbls>
          <c:showLegendKey val="0"/>
          <c:showVal val="0"/>
          <c:showCatName val="0"/>
          <c:showSerName val="0"/>
          <c:showPercent val="0"/>
          <c:showBubbleSize val="0"/>
        </c:dLbls>
        <c:gapWidth val="150"/>
        <c:shape val="box"/>
        <c:axId val="66623807"/>
        <c:axId val="66619967"/>
        <c:axId val="0"/>
      </c:bar3DChart>
      <c:catAx>
        <c:axId val="666238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19967"/>
        <c:crosses val="autoZero"/>
        <c:auto val="1"/>
        <c:lblAlgn val="ctr"/>
        <c:lblOffset val="100"/>
        <c:noMultiLvlLbl val="0"/>
      </c:catAx>
      <c:valAx>
        <c:axId val="66619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38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Understanding of  the concept of inflation.</a:t>
            </a:r>
            <a:r>
              <a:rPr lang="en-IN"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Sheet1!$S$32</c:f>
              <c:strCache>
                <c:ptCount val="1"/>
                <c:pt idx="0">
                  <c:v>Frequency</c:v>
                </c:pt>
              </c:strCache>
            </c:strRef>
          </c:tx>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5BCB-47DC-8FBF-17F53C26D29C}"/>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5BCB-47DC-8FBF-17F53C26D29C}"/>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5BCB-47DC-8FBF-17F53C26D29C}"/>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5BCB-47DC-8FBF-17F53C26D29C}"/>
              </c:ext>
            </c:extLst>
          </c:dPt>
          <c:dPt>
            <c:idx val="4"/>
            <c:invertIfNegative val="0"/>
            <c:bubble3D val="0"/>
            <c:spPr>
              <a:solidFill>
                <a:schemeClr val="accent5"/>
              </a:solidFill>
              <a:ln>
                <a:noFill/>
              </a:ln>
              <a:effectLst/>
              <a:sp3d/>
            </c:spPr>
            <c:extLst>
              <c:ext xmlns:c16="http://schemas.microsoft.com/office/drawing/2014/chart" uri="{C3380CC4-5D6E-409C-BE32-E72D297353CC}">
                <c16:uniqueId val="{00000009-5BCB-47DC-8FBF-17F53C26D29C}"/>
              </c:ext>
            </c:extLst>
          </c:dPt>
          <c:dPt>
            <c:idx val="5"/>
            <c:invertIfNegative val="0"/>
            <c:bubble3D val="0"/>
            <c:spPr>
              <a:solidFill>
                <a:schemeClr val="accent6"/>
              </a:solidFill>
              <a:ln>
                <a:noFill/>
              </a:ln>
              <a:effectLst/>
              <a:sp3d/>
            </c:spPr>
            <c:extLst>
              <c:ext xmlns:c16="http://schemas.microsoft.com/office/drawing/2014/chart" uri="{C3380CC4-5D6E-409C-BE32-E72D297353CC}">
                <c16:uniqueId val="{0000000B-5BCB-47DC-8FBF-17F53C26D2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Sheet1!$Q$33:$R$38</c:f>
              <c:multiLvlStrCache>
                <c:ptCount val="5"/>
                <c:lvl>
                  <c:pt idx="0">
                    <c:v>1</c:v>
                  </c:pt>
                  <c:pt idx="1">
                    <c:v>2</c:v>
                  </c:pt>
                  <c:pt idx="2">
                    <c:v>3</c:v>
                  </c:pt>
                  <c:pt idx="3">
                    <c:v>4</c:v>
                  </c:pt>
                  <c:pt idx="4">
                    <c:v>5</c:v>
                  </c:pt>
                </c:lvl>
                <c:lvl>
                  <c:pt idx="0">
                    <c:v>Valid</c:v>
                  </c:pt>
                </c:lvl>
              </c:multiLvlStrCache>
            </c:multiLvlStrRef>
          </c:cat>
          <c:val>
            <c:numRef>
              <c:f>Sheet1!$S$33:$S$38</c:f>
              <c:numCache>
                <c:formatCode>General</c:formatCode>
                <c:ptCount val="6"/>
                <c:pt idx="0">
                  <c:v>10</c:v>
                </c:pt>
                <c:pt idx="1">
                  <c:v>10</c:v>
                </c:pt>
                <c:pt idx="2">
                  <c:v>34</c:v>
                </c:pt>
                <c:pt idx="3">
                  <c:v>70</c:v>
                </c:pt>
                <c:pt idx="4">
                  <c:v>14</c:v>
                </c:pt>
              </c:numCache>
            </c:numRef>
          </c:val>
          <c:shape val="cylinder"/>
          <c:extLst>
            <c:ext xmlns:c16="http://schemas.microsoft.com/office/drawing/2014/chart" uri="{C3380CC4-5D6E-409C-BE32-E72D297353CC}">
              <c16:uniqueId val="{0000000C-5BCB-47DC-8FBF-17F53C26D29C}"/>
            </c:ext>
          </c:extLst>
        </c:ser>
        <c:dLbls>
          <c:showLegendKey val="0"/>
          <c:showVal val="0"/>
          <c:showCatName val="0"/>
          <c:showSerName val="0"/>
          <c:showPercent val="0"/>
          <c:showBubbleSize val="0"/>
        </c:dLbls>
        <c:gapWidth val="150"/>
        <c:shape val="box"/>
        <c:axId val="2054007471"/>
        <c:axId val="2054006031"/>
        <c:axId val="0"/>
      </c:bar3DChart>
      <c:catAx>
        <c:axId val="2054007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006031"/>
        <c:crosses val="autoZero"/>
        <c:auto val="1"/>
        <c:lblAlgn val="ctr"/>
        <c:lblOffset val="100"/>
        <c:noMultiLvlLbl val="0"/>
      </c:catAx>
      <c:valAx>
        <c:axId val="205400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007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860E-2674-42EE-AA7B-D1478F65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6470</Words>
  <Characters>36885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venkatesh kokkar</dc:creator>
  <cp:keywords/>
  <dc:description/>
  <cp:lastModifiedBy>MAYANK SWAMI</cp:lastModifiedBy>
  <cp:revision>2</cp:revision>
  <dcterms:created xsi:type="dcterms:W3CDTF">2025-10-19T05:13:00Z</dcterms:created>
  <dcterms:modified xsi:type="dcterms:W3CDTF">2025-10-19T05:13:00Z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fad6185f-d666-4754-a7ec-29735ff0f05d</vt:lpwstr>
  </property>
</Properties>
</file>