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62AE6" w14:textId="402277E8" w:rsidR="002D42C2" w:rsidRPr="0001291E" w:rsidRDefault="00036F52" w:rsidP="00475FA2">
      <w:pPr>
        <w:pStyle w:val="Title"/>
        <w:spacing w:before="120" w:line="276" w:lineRule="auto"/>
        <w:ind w:left="0" w:right="0"/>
        <w:rPr>
          <w:i/>
        </w:rPr>
      </w:pPr>
      <w:r w:rsidRPr="0001291E">
        <w:t xml:space="preserve">The Impact </w:t>
      </w:r>
      <w:r w:rsidR="001D6F04" w:rsidRPr="0001291E">
        <w:t>of</w:t>
      </w:r>
      <w:r w:rsidRPr="0001291E">
        <w:t xml:space="preserve"> E</w:t>
      </w:r>
      <w:r w:rsidR="001D6F04" w:rsidRPr="0001291E">
        <w:t>SG</w:t>
      </w:r>
      <w:r w:rsidRPr="0001291E">
        <w:t xml:space="preserve"> Awareness </w:t>
      </w:r>
      <w:r w:rsidR="00493138">
        <w:t>o</w:t>
      </w:r>
      <w:r w:rsidRPr="0001291E">
        <w:t>n Personal Investment Decisions</w:t>
      </w:r>
    </w:p>
    <w:p w14:paraId="24AA2C68" w14:textId="4D7309A2" w:rsidR="00036F52" w:rsidRPr="0001291E" w:rsidRDefault="00036F52" w:rsidP="00475FA2">
      <w:pPr>
        <w:pStyle w:val="BodyText"/>
        <w:spacing w:before="120" w:line="276" w:lineRule="auto"/>
        <w:jc w:val="center"/>
        <w:rPr>
          <w:b/>
          <w:bCs/>
          <w:iCs/>
          <w:sz w:val="20"/>
          <w:szCs w:val="20"/>
        </w:rPr>
      </w:pPr>
      <w:r w:rsidRPr="0001291E">
        <w:rPr>
          <w:b/>
          <w:bCs/>
          <w:iCs/>
          <w:sz w:val="20"/>
          <w:szCs w:val="20"/>
        </w:rPr>
        <w:t>Dr. Ri</w:t>
      </w:r>
      <w:r w:rsidR="00490C6B" w:rsidRPr="0001291E">
        <w:rPr>
          <w:b/>
          <w:bCs/>
          <w:iCs/>
          <w:sz w:val="20"/>
          <w:szCs w:val="20"/>
        </w:rPr>
        <w:t>shika</w:t>
      </w:r>
      <w:r w:rsidRPr="0001291E">
        <w:rPr>
          <w:b/>
          <w:bCs/>
          <w:iCs/>
          <w:sz w:val="20"/>
          <w:szCs w:val="20"/>
        </w:rPr>
        <w:t>ysh Kaakandikar</w:t>
      </w:r>
      <w:r w:rsidRPr="0001291E">
        <w:rPr>
          <w:b/>
          <w:bCs/>
          <w:iCs/>
          <w:sz w:val="20"/>
          <w:szCs w:val="20"/>
          <w:vertAlign w:val="superscript"/>
        </w:rPr>
        <w:t>1</w:t>
      </w:r>
      <w:r w:rsidRPr="0001291E">
        <w:rPr>
          <w:b/>
          <w:bCs/>
          <w:iCs/>
          <w:sz w:val="20"/>
          <w:szCs w:val="20"/>
        </w:rPr>
        <w:t>, Kartik Kamalkishor Soni</w:t>
      </w:r>
      <w:r w:rsidRPr="0001291E">
        <w:rPr>
          <w:b/>
          <w:bCs/>
          <w:iCs/>
          <w:sz w:val="20"/>
          <w:szCs w:val="20"/>
          <w:vertAlign w:val="superscript"/>
        </w:rPr>
        <w:t>2</w:t>
      </w:r>
      <w:r w:rsidRPr="0001291E">
        <w:rPr>
          <w:b/>
          <w:bCs/>
          <w:iCs/>
          <w:sz w:val="20"/>
          <w:szCs w:val="20"/>
        </w:rPr>
        <w:t>, Praful</w:t>
      </w:r>
      <w:r w:rsidR="001D6F04" w:rsidRPr="0001291E">
        <w:rPr>
          <w:b/>
          <w:bCs/>
          <w:iCs/>
          <w:sz w:val="20"/>
          <w:szCs w:val="20"/>
        </w:rPr>
        <w:t xml:space="preserve"> Pradip</w:t>
      </w:r>
      <w:r w:rsidRPr="0001291E">
        <w:rPr>
          <w:b/>
          <w:bCs/>
          <w:iCs/>
          <w:sz w:val="20"/>
          <w:szCs w:val="20"/>
        </w:rPr>
        <w:t xml:space="preserve"> Barole</w:t>
      </w:r>
      <w:r w:rsidRPr="0001291E">
        <w:rPr>
          <w:b/>
          <w:bCs/>
          <w:iCs/>
          <w:sz w:val="20"/>
          <w:szCs w:val="20"/>
          <w:vertAlign w:val="superscript"/>
        </w:rPr>
        <w:t>3</w:t>
      </w:r>
      <w:r w:rsidRPr="0001291E">
        <w:rPr>
          <w:b/>
          <w:bCs/>
          <w:iCs/>
          <w:sz w:val="20"/>
          <w:szCs w:val="20"/>
        </w:rPr>
        <w:t>, Abhijeet Vinayak More</w:t>
      </w:r>
      <w:r w:rsidRPr="0001291E">
        <w:rPr>
          <w:b/>
          <w:bCs/>
          <w:iCs/>
          <w:sz w:val="20"/>
          <w:szCs w:val="20"/>
          <w:vertAlign w:val="superscript"/>
        </w:rPr>
        <w:t>4</w:t>
      </w:r>
      <w:r w:rsidRPr="0001291E">
        <w:rPr>
          <w:b/>
          <w:bCs/>
          <w:iCs/>
          <w:sz w:val="20"/>
          <w:szCs w:val="20"/>
        </w:rPr>
        <w:t>,</w:t>
      </w:r>
      <w:r w:rsidR="004E0431">
        <w:rPr>
          <w:b/>
          <w:bCs/>
          <w:iCs/>
          <w:sz w:val="20"/>
          <w:szCs w:val="20"/>
        </w:rPr>
        <w:t xml:space="preserve"> </w:t>
      </w:r>
      <w:r w:rsidRPr="0001291E">
        <w:rPr>
          <w:b/>
          <w:bCs/>
          <w:iCs/>
          <w:sz w:val="20"/>
          <w:szCs w:val="20"/>
        </w:rPr>
        <w:t>Sejal Kapil Waghmare</w:t>
      </w:r>
      <w:r w:rsidR="001D6F04" w:rsidRPr="0001291E">
        <w:rPr>
          <w:b/>
          <w:bCs/>
          <w:iCs/>
          <w:sz w:val="20"/>
          <w:szCs w:val="20"/>
          <w:vertAlign w:val="superscript"/>
        </w:rPr>
        <w:t>5</w:t>
      </w:r>
      <w:r w:rsidRPr="0001291E">
        <w:rPr>
          <w:b/>
          <w:bCs/>
          <w:iCs/>
          <w:sz w:val="20"/>
          <w:szCs w:val="20"/>
        </w:rPr>
        <w:t>.</w:t>
      </w:r>
    </w:p>
    <w:p w14:paraId="767AB303" w14:textId="77777777" w:rsidR="00493138" w:rsidRDefault="00036F52" w:rsidP="00493138">
      <w:pPr>
        <w:spacing w:before="120" w:line="276" w:lineRule="auto"/>
        <w:contextualSpacing/>
        <w:jc w:val="center"/>
        <w:rPr>
          <w:sz w:val="20"/>
          <w:szCs w:val="20"/>
        </w:rPr>
      </w:pPr>
      <w:r w:rsidRPr="0001291E">
        <w:rPr>
          <w:sz w:val="20"/>
          <w:szCs w:val="20"/>
        </w:rPr>
        <w:t xml:space="preserve"> </w:t>
      </w:r>
      <w:r w:rsidRPr="0001291E">
        <w:rPr>
          <w:sz w:val="20"/>
          <w:szCs w:val="20"/>
          <w:vertAlign w:val="superscript"/>
        </w:rPr>
        <w:t>1</w:t>
      </w:r>
      <w:r w:rsidRPr="0001291E">
        <w:rPr>
          <w:sz w:val="20"/>
          <w:szCs w:val="20"/>
        </w:rPr>
        <w:t>Associate Professor, SaiBalaji International Institute of Management Science, Pune</w:t>
      </w:r>
    </w:p>
    <w:p w14:paraId="3E5F633B" w14:textId="77777777" w:rsidR="00493138" w:rsidRDefault="00036F52" w:rsidP="00493138">
      <w:pPr>
        <w:spacing w:before="120" w:line="276" w:lineRule="auto"/>
        <w:contextualSpacing/>
        <w:jc w:val="center"/>
        <w:rPr>
          <w:sz w:val="20"/>
          <w:szCs w:val="20"/>
        </w:rPr>
      </w:pPr>
      <w:r w:rsidRPr="0001291E">
        <w:rPr>
          <w:iCs/>
          <w:sz w:val="20"/>
          <w:szCs w:val="20"/>
          <w:vertAlign w:val="superscript"/>
        </w:rPr>
        <w:t>2</w:t>
      </w:r>
      <w:r w:rsidRPr="0001291E">
        <w:rPr>
          <w:iCs/>
          <w:sz w:val="20"/>
          <w:szCs w:val="20"/>
        </w:rPr>
        <w:t>Student,</w:t>
      </w:r>
      <w:r w:rsidRPr="0001291E">
        <w:rPr>
          <w:b/>
          <w:bCs/>
          <w:iCs/>
          <w:sz w:val="20"/>
          <w:szCs w:val="20"/>
        </w:rPr>
        <w:t xml:space="preserve"> </w:t>
      </w:r>
      <w:r w:rsidRPr="0001291E">
        <w:rPr>
          <w:sz w:val="20"/>
          <w:szCs w:val="20"/>
        </w:rPr>
        <w:t>SaiBalaji International Institute of Management Science, Pune</w:t>
      </w:r>
    </w:p>
    <w:p w14:paraId="353705E2" w14:textId="77777777" w:rsidR="00493138" w:rsidRDefault="001D6F04" w:rsidP="00493138">
      <w:pPr>
        <w:spacing w:before="120" w:line="276" w:lineRule="auto"/>
        <w:contextualSpacing/>
        <w:jc w:val="center"/>
        <w:rPr>
          <w:sz w:val="20"/>
          <w:szCs w:val="20"/>
        </w:rPr>
      </w:pPr>
      <w:r w:rsidRPr="0001291E">
        <w:rPr>
          <w:iCs/>
          <w:sz w:val="20"/>
          <w:szCs w:val="20"/>
          <w:vertAlign w:val="superscript"/>
        </w:rPr>
        <w:t>3</w:t>
      </w:r>
      <w:r w:rsidRPr="0001291E">
        <w:rPr>
          <w:iCs/>
          <w:sz w:val="20"/>
          <w:szCs w:val="20"/>
        </w:rPr>
        <w:t>Student,</w:t>
      </w:r>
      <w:r w:rsidRPr="0001291E">
        <w:rPr>
          <w:b/>
          <w:bCs/>
          <w:iCs/>
          <w:sz w:val="20"/>
          <w:szCs w:val="20"/>
        </w:rPr>
        <w:t xml:space="preserve"> </w:t>
      </w:r>
      <w:r w:rsidRPr="0001291E">
        <w:rPr>
          <w:sz w:val="20"/>
          <w:szCs w:val="20"/>
        </w:rPr>
        <w:t>SaiBalaji International Institute of Management Science, Pune</w:t>
      </w:r>
    </w:p>
    <w:p w14:paraId="30DCDD6A" w14:textId="77777777" w:rsidR="00493138" w:rsidRDefault="001D6F04" w:rsidP="00493138">
      <w:pPr>
        <w:spacing w:before="120" w:line="276" w:lineRule="auto"/>
        <w:contextualSpacing/>
        <w:jc w:val="center"/>
        <w:rPr>
          <w:sz w:val="20"/>
          <w:szCs w:val="20"/>
        </w:rPr>
      </w:pPr>
      <w:r w:rsidRPr="0001291E">
        <w:rPr>
          <w:iCs/>
          <w:sz w:val="20"/>
          <w:szCs w:val="20"/>
          <w:vertAlign w:val="superscript"/>
        </w:rPr>
        <w:t>4</w:t>
      </w:r>
      <w:r w:rsidRPr="0001291E">
        <w:rPr>
          <w:iCs/>
          <w:sz w:val="20"/>
          <w:szCs w:val="20"/>
        </w:rPr>
        <w:t>Student,</w:t>
      </w:r>
      <w:r w:rsidRPr="0001291E">
        <w:rPr>
          <w:b/>
          <w:bCs/>
          <w:iCs/>
          <w:sz w:val="20"/>
          <w:szCs w:val="20"/>
        </w:rPr>
        <w:t xml:space="preserve"> </w:t>
      </w:r>
      <w:r w:rsidRPr="0001291E">
        <w:rPr>
          <w:sz w:val="20"/>
          <w:szCs w:val="20"/>
        </w:rPr>
        <w:t>SaiBalaji International Institute of Management Science, Pune</w:t>
      </w:r>
    </w:p>
    <w:p w14:paraId="7673B189" w14:textId="35817FEC" w:rsidR="00036F52" w:rsidRPr="0001291E" w:rsidRDefault="001D6F04" w:rsidP="00493138">
      <w:pPr>
        <w:spacing w:before="120" w:line="276" w:lineRule="auto"/>
        <w:contextualSpacing/>
        <w:jc w:val="center"/>
        <w:rPr>
          <w:b/>
          <w:bCs/>
          <w:iCs/>
          <w:sz w:val="20"/>
          <w:szCs w:val="20"/>
        </w:rPr>
      </w:pPr>
      <w:r w:rsidRPr="0001291E">
        <w:rPr>
          <w:iCs/>
          <w:sz w:val="20"/>
          <w:szCs w:val="20"/>
          <w:vertAlign w:val="superscript"/>
        </w:rPr>
        <w:t>5</w:t>
      </w:r>
      <w:r w:rsidRPr="0001291E">
        <w:rPr>
          <w:iCs/>
          <w:sz w:val="20"/>
          <w:szCs w:val="20"/>
        </w:rPr>
        <w:t>Student,</w:t>
      </w:r>
      <w:r w:rsidRPr="0001291E">
        <w:rPr>
          <w:b/>
          <w:bCs/>
          <w:iCs/>
          <w:sz w:val="20"/>
          <w:szCs w:val="20"/>
        </w:rPr>
        <w:t xml:space="preserve"> </w:t>
      </w:r>
      <w:r w:rsidRPr="0001291E">
        <w:rPr>
          <w:sz w:val="20"/>
          <w:szCs w:val="20"/>
        </w:rPr>
        <w:t>SaiBalaji International Institute of Management Science, Pune</w:t>
      </w:r>
      <w:r w:rsidR="00036F52" w:rsidRPr="0001291E">
        <w:rPr>
          <w:b/>
          <w:bCs/>
          <w:i/>
          <w:noProof/>
          <w:sz w:val="20"/>
          <w:szCs w:val="20"/>
          <w:lang w:val="en-IN" w:eastAsia="en-IN"/>
        </w:rPr>
        <mc:AlternateContent>
          <mc:Choice Requires="wps">
            <w:drawing>
              <wp:anchor distT="0" distB="0" distL="0" distR="0" simplePos="0" relativeHeight="251621888" behindDoc="1" locked="0" layoutInCell="1" allowOverlap="1" wp14:anchorId="61846353" wp14:editId="7949C285">
                <wp:simplePos x="0" y="0"/>
                <wp:positionH relativeFrom="page">
                  <wp:posOffset>859862</wp:posOffset>
                </wp:positionH>
                <wp:positionV relativeFrom="paragraph">
                  <wp:posOffset>488315</wp:posOffset>
                </wp:positionV>
                <wp:extent cx="5984240"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9525"/>
                        </a:xfrm>
                        <a:custGeom>
                          <a:avLst/>
                          <a:gdLst/>
                          <a:ahLst/>
                          <a:cxnLst/>
                          <a:rect l="l" t="t" r="r" b="b"/>
                          <a:pathLst>
                            <a:path w="5984240" h="9525">
                              <a:moveTo>
                                <a:pt x="5984240" y="0"/>
                              </a:moveTo>
                              <a:lnTo>
                                <a:pt x="0" y="0"/>
                              </a:lnTo>
                              <a:lnTo>
                                <a:pt x="0" y="9525"/>
                              </a:lnTo>
                              <a:lnTo>
                                <a:pt x="5984240" y="9525"/>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0D5102" id="Graphic 7" o:spid="_x0000_s1026" style="position:absolute;margin-left:67.7pt;margin-top:38.45pt;width:471.2pt;height:.75pt;z-index:-251694592;visibility:visible;mso-wrap-style:square;mso-wrap-distance-left:0;mso-wrap-distance-top:0;mso-wrap-distance-right:0;mso-wrap-distance-bottom:0;mso-position-horizontal:absolute;mso-position-horizontal-relative:page;mso-position-vertical:absolute;mso-position-vertical-relative:text;v-text-anchor:top" coordsize="59842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" path="m5984240,l,,,9525r5984240,l5984240,xe" fillcolor="black" stroked="f">
                <v:path arrowok="t"/>
                <w10:wrap type="topAndBottom" anchorx="page"/>
              </v:shape>
            </w:pict>
          </mc:Fallback>
        </mc:AlternateContent>
      </w:r>
    </w:p>
    <w:p w14:paraId="52C617BD" w14:textId="77777777" w:rsidR="004E0431" w:rsidRDefault="004E0431" w:rsidP="00475FA2">
      <w:pPr>
        <w:spacing w:before="120" w:line="276" w:lineRule="auto"/>
        <w:jc w:val="both"/>
        <w:rPr>
          <w:b/>
          <w:i/>
          <w:spacing w:val="-2"/>
          <w:sz w:val="20"/>
          <w:szCs w:val="20"/>
        </w:rPr>
      </w:pPr>
    </w:p>
    <w:p w14:paraId="4800F8BD" w14:textId="0B902FAC" w:rsidR="002D42C2" w:rsidRPr="0001291E" w:rsidRDefault="009B3576" w:rsidP="00475FA2">
      <w:pPr>
        <w:spacing w:before="120" w:line="276" w:lineRule="auto"/>
        <w:jc w:val="both"/>
        <w:rPr>
          <w:b/>
          <w:i/>
          <w:sz w:val="20"/>
          <w:szCs w:val="20"/>
        </w:rPr>
      </w:pPr>
      <w:r w:rsidRPr="0001291E">
        <w:rPr>
          <w:b/>
          <w:i/>
          <w:spacing w:val="-2"/>
          <w:sz w:val="20"/>
          <w:szCs w:val="20"/>
        </w:rPr>
        <w:t>Abstract</w:t>
      </w:r>
    </w:p>
    <w:p w14:paraId="6853525C" w14:textId="696BEAB8" w:rsidR="002D42C2" w:rsidRPr="0001291E" w:rsidRDefault="009B3576" w:rsidP="00475FA2">
      <w:pPr>
        <w:pStyle w:val="BodyText"/>
        <w:spacing w:before="120" w:line="276" w:lineRule="auto"/>
        <w:jc w:val="both"/>
        <w:rPr>
          <w:sz w:val="20"/>
          <w:szCs w:val="20"/>
        </w:rPr>
      </w:pPr>
      <w:r w:rsidRPr="0001291E">
        <w:rPr>
          <w:sz w:val="20"/>
          <w:szCs w:val="20"/>
        </w:rPr>
        <w:t>Environmental, Social, and Governance (ESG) factors have become increasingly significant in shaping personal investment decisions as investors seek to align their financial goals with sustainability and ethical considerations. This study explores the impact of ESG awareness on individual investment choices, analyzing the extent to which knowledge and perception of ESG influence</w:t>
      </w:r>
      <w:r w:rsidRPr="0001291E">
        <w:rPr>
          <w:spacing w:val="-11"/>
          <w:sz w:val="20"/>
          <w:szCs w:val="20"/>
        </w:rPr>
        <w:t xml:space="preserve"> </w:t>
      </w:r>
      <w:r w:rsidRPr="0001291E">
        <w:rPr>
          <w:sz w:val="20"/>
          <w:szCs w:val="20"/>
        </w:rPr>
        <w:t>portfolio</w:t>
      </w:r>
      <w:r w:rsidRPr="0001291E">
        <w:rPr>
          <w:spacing w:val="-10"/>
          <w:sz w:val="20"/>
          <w:szCs w:val="20"/>
        </w:rPr>
        <w:t xml:space="preserve"> </w:t>
      </w:r>
      <w:r w:rsidRPr="0001291E">
        <w:rPr>
          <w:sz w:val="20"/>
          <w:szCs w:val="20"/>
        </w:rPr>
        <w:t>allocation.</w:t>
      </w:r>
      <w:r w:rsidRPr="0001291E">
        <w:rPr>
          <w:spacing w:val="-10"/>
          <w:sz w:val="20"/>
          <w:szCs w:val="20"/>
        </w:rPr>
        <w:t xml:space="preserve"> </w:t>
      </w:r>
      <w:r w:rsidRPr="0001291E">
        <w:rPr>
          <w:sz w:val="20"/>
          <w:szCs w:val="20"/>
        </w:rPr>
        <w:t>Using</w:t>
      </w:r>
      <w:r w:rsidRPr="0001291E">
        <w:rPr>
          <w:spacing w:val="-10"/>
          <w:sz w:val="20"/>
          <w:szCs w:val="20"/>
        </w:rPr>
        <w:t xml:space="preserve"> </w:t>
      </w:r>
      <w:r w:rsidRPr="0001291E">
        <w:rPr>
          <w:sz w:val="20"/>
          <w:szCs w:val="20"/>
        </w:rPr>
        <w:t>survey</w:t>
      </w:r>
      <w:r w:rsidRPr="0001291E">
        <w:rPr>
          <w:spacing w:val="-10"/>
          <w:sz w:val="20"/>
          <w:szCs w:val="20"/>
        </w:rPr>
        <w:t xml:space="preserve"> </w:t>
      </w:r>
      <w:r w:rsidRPr="0001291E">
        <w:rPr>
          <w:sz w:val="20"/>
          <w:szCs w:val="20"/>
        </w:rPr>
        <w:t>data</w:t>
      </w:r>
      <w:r w:rsidRPr="0001291E">
        <w:rPr>
          <w:spacing w:val="-11"/>
          <w:sz w:val="20"/>
          <w:szCs w:val="20"/>
        </w:rPr>
        <w:t xml:space="preserve"> </w:t>
      </w:r>
      <w:r w:rsidRPr="0001291E">
        <w:rPr>
          <w:sz w:val="20"/>
          <w:szCs w:val="20"/>
        </w:rPr>
        <w:t>and</w:t>
      </w:r>
      <w:r w:rsidRPr="0001291E">
        <w:rPr>
          <w:spacing w:val="-5"/>
          <w:sz w:val="20"/>
          <w:szCs w:val="20"/>
        </w:rPr>
        <w:t xml:space="preserve"> </w:t>
      </w:r>
      <w:r w:rsidRPr="0001291E">
        <w:rPr>
          <w:sz w:val="20"/>
          <w:szCs w:val="20"/>
        </w:rPr>
        <w:t>existing</w:t>
      </w:r>
      <w:r w:rsidRPr="0001291E">
        <w:rPr>
          <w:spacing w:val="-10"/>
          <w:sz w:val="20"/>
          <w:szCs w:val="20"/>
        </w:rPr>
        <w:t xml:space="preserve"> </w:t>
      </w:r>
      <w:r w:rsidRPr="0001291E">
        <w:rPr>
          <w:sz w:val="20"/>
          <w:szCs w:val="20"/>
        </w:rPr>
        <w:t>literature,</w:t>
      </w:r>
      <w:r w:rsidRPr="0001291E">
        <w:rPr>
          <w:spacing w:val="-10"/>
          <w:sz w:val="20"/>
          <w:szCs w:val="20"/>
        </w:rPr>
        <w:t xml:space="preserve"> </w:t>
      </w:r>
      <w:r w:rsidRPr="0001291E">
        <w:rPr>
          <w:sz w:val="20"/>
          <w:szCs w:val="20"/>
        </w:rPr>
        <w:t>the</w:t>
      </w:r>
      <w:r w:rsidRPr="0001291E">
        <w:rPr>
          <w:spacing w:val="-11"/>
          <w:sz w:val="20"/>
          <w:szCs w:val="20"/>
        </w:rPr>
        <w:t xml:space="preserve"> </w:t>
      </w:r>
      <w:r w:rsidRPr="0001291E">
        <w:rPr>
          <w:sz w:val="20"/>
          <w:szCs w:val="20"/>
        </w:rPr>
        <w:t>research</w:t>
      </w:r>
      <w:r w:rsidRPr="0001291E">
        <w:rPr>
          <w:spacing w:val="-10"/>
          <w:sz w:val="20"/>
          <w:szCs w:val="20"/>
        </w:rPr>
        <w:t xml:space="preserve"> </w:t>
      </w:r>
      <w:r w:rsidRPr="0001291E">
        <w:rPr>
          <w:sz w:val="20"/>
          <w:szCs w:val="20"/>
        </w:rPr>
        <w:t>identifies</w:t>
      </w:r>
      <w:r w:rsidRPr="0001291E">
        <w:rPr>
          <w:spacing w:val="-8"/>
          <w:sz w:val="20"/>
          <w:szCs w:val="20"/>
        </w:rPr>
        <w:t xml:space="preserve"> </w:t>
      </w:r>
      <w:r w:rsidRPr="0001291E">
        <w:rPr>
          <w:sz w:val="20"/>
          <w:szCs w:val="20"/>
        </w:rPr>
        <w:t>key trends in investor behaviour and the role of ESG disclosures in decision-making. The findings highlight a growing preference for sustainable investments yet also reveal challenges such as information</w:t>
      </w:r>
      <w:r w:rsidRPr="0001291E">
        <w:rPr>
          <w:spacing w:val="-10"/>
          <w:sz w:val="20"/>
          <w:szCs w:val="20"/>
        </w:rPr>
        <w:t xml:space="preserve"> </w:t>
      </w:r>
      <w:r w:rsidRPr="0001291E">
        <w:rPr>
          <w:sz w:val="20"/>
          <w:szCs w:val="20"/>
        </w:rPr>
        <w:t>asymmetry</w:t>
      </w:r>
      <w:r w:rsidRPr="0001291E">
        <w:rPr>
          <w:spacing w:val="-9"/>
          <w:sz w:val="20"/>
          <w:szCs w:val="20"/>
        </w:rPr>
        <w:t xml:space="preserve"> </w:t>
      </w:r>
      <w:r w:rsidRPr="0001291E">
        <w:rPr>
          <w:sz w:val="20"/>
          <w:szCs w:val="20"/>
        </w:rPr>
        <w:t>and</w:t>
      </w:r>
      <w:r w:rsidRPr="0001291E">
        <w:rPr>
          <w:spacing w:val="-5"/>
          <w:sz w:val="20"/>
          <w:szCs w:val="20"/>
        </w:rPr>
        <w:t xml:space="preserve"> </w:t>
      </w:r>
      <w:r w:rsidRPr="0001291E">
        <w:rPr>
          <w:sz w:val="20"/>
          <w:szCs w:val="20"/>
        </w:rPr>
        <w:t>varying</w:t>
      </w:r>
      <w:r w:rsidRPr="0001291E">
        <w:rPr>
          <w:spacing w:val="-4"/>
          <w:sz w:val="20"/>
          <w:szCs w:val="20"/>
        </w:rPr>
        <w:t xml:space="preserve"> </w:t>
      </w:r>
      <w:r w:rsidRPr="0001291E">
        <w:rPr>
          <w:sz w:val="20"/>
          <w:szCs w:val="20"/>
        </w:rPr>
        <w:t>levels</w:t>
      </w:r>
      <w:r w:rsidRPr="0001291E">
        <w:rPr>
          <w:spacing w:val="-8"/>
          <w:sz w:val="20"/>
          <w:szCs w:val="20"/>
        </w:rPr>
        <w:t xml:space="preserve"> </w:t>
      </w:r>
      <w:r w:rsidRPr="0001291E">
        <w:rPr>
          <w:sz w:val="20"/>
          <w:szCs w:val="20"/>
        </w:rPr>
        <w:t>of</w:t>
      </w:r>
      <w:r w:rsidRPr="0001291E">
        <w:rPr>
          <w:spacing w:val="-9"/>
          <w:sz w:val="20"/>
          <w:szCs w:val="20"/>
        </w:rPr>
        <w:t xml:space="preserve"> </w:t>
      </w:r>
      <w:r w:rsidRPr="0001291E">
        <w:rPr>
          <w:sz w:val="20"/>
          <w:szCs w:val="20"/>
        </w:rPr>
        <w:t>awareness.</w:t>
      </w:r>
      <w:r w:rsidRPr="0001291E">
        <w:rPr>
          <w:spacing w:val="-14"/>
          <w:sz w:val="20"/>
          <w:szCs w:val="20"/>
        </w:rPr>
        <w:t xml:space="preserve"> </w:t>
      </w:r>
      <w:r w:rsidRPr="0001291E">
        <w:rPr>
          <w:sz w:val="20"/>
          <w:szCs w:val="20"/>
        </w:rPr>
        <w:t>This</w:t>
      </w:r>
      <w:r w:rsidRPr="0001291E">
        <w:rPr>
          <w:spacing w:val="-8"/>
          <w:sz w:val="20"/>
          <w:szCs w:val="20"/>
        </w:rPr>
        <w:t xml:space="preserve"> </w:t>
      </w:r>
      <w:r w:rsidRPr="0001291E">
        <w:rPr>
          <w:sz w:val="20"/>
          <w:szCs w:val="20"/>
        </w:rPr>
        <w:t>study</w:t>
      </w:r>
      <w:r w:rsidRPr="0001291E">
        <w:rPr>
          <w:spacing w:val="-10"/>
          <w:sz w:val="20"/>
          <w:szCs w:val="20"/>
        </w:rPr>
        <w:t xml:space="preserve"> </w:t>
      </w:r>
      <w:r w:rsidRPr="0001291E">
        <w:rPr>
          <w:sz w:val="20"/>
          <w:szCs w:val="20"/>
        </w:rPr>
        <w:t>provides</w:t>
      </w:r>
      <w:r w:rsidRPr="0001291E">
        <w:rPr>
          <w:spacing w:val="-8"/>
          <w:sz w:val="20"/>
          <w:szCs w:val="20"/>
        </w:rPr>
        <w:t xml:space="preserve"> </w:t>
      </w:r>
      <w:r w:rsidRPr="0001291E">
        <w:rPr>
          <w:sz w:val="20"/>
          <w:szCs w:val="20"/>
        </w:rPr>
        <w:t>valuable</w:t>
      </w:r>
      <w:r w:rsidRPr="0001291E">
        <w:rPr>
          <w:spacing w:val="-10"/>
          <w:sz w:val="20"/>
          <w:szCs w:val="20"/>
        </w:rPr>
        <w:t xml:space="preserve"> </w:t>
      </w:r>
      <w:r w:rsidRPr="0001291E">
        <w:rPr>
          <w:sz w:val="20"/>
          <w:szCs w:val="20"/>
        </w:rPr>
        <w:t>insights</w:t>
      </w:r>
      <w:r w:rsidRPr="0001291E">
        <w:rPr>
          <w:spacing w:val="-8"/>
          <w:sz w:val="20"/>
          <w:szCs w:val="20"/>
        </w:rPr>
        <w:t xml:space="preserve"> </w:t>
      </w:r>
      <w:r w:rsidRPr="0001291E">
        <w:rPr>
          <w:sz w:val="20"/>
          <w:szCs w:val="20"/>
        </w:rPr>
        <w:t>for investors, policymakers, and financial institutions aiming to promote ESG integration in investment strategies.</w:t>
      </w:r>
    </w:p>
    <w:p w14:paraId="5F8B7C3F" w14:textId="77777777" w:rsidR="002D42C2" w:rsidRPr="0001291E" w:rsidRDefault="009B3576" w:rsidP="00475FA2">
      <w:pPr>
        <w:spacing w:before="120" w:line="276" w:lineRule="auto"/>
        <w:jc w:val="both"/>
        <w:rPr>
          <w:i/>
          <w:sz w:val="20"/>
          <w:szCs w:val="20"/>
        </w:rPr>
      </w:pPr>
      <w:r w:rsidRPr="0001291E">
        <w:rPr>
          <w:i/>
          <w:noProof/>
          <w:sz w:val="20"/>
          <w:szCs w:val="20"/>
          <w:lang w:val="en-IN" w:eastAsia="en-IN"/>
        </w:rPr>
        <mc:AlternateContent>
          <mc:Choice Requires="wps">
            <w:drawing>
              <wp:anchor distT="0" distB="0" distL="0" distR="0" simplePos="0" relativeHeight="251704832" behindDoc="1" locked="0" layoutInCell="1" allowOverlap="1" wp14:anchorId="61AE0602" wp14:editId="6C2972AF">
                <wp:simplePos x="0" y="0"/>
                <wp:positionH relativeFrom="page">
                  <wp:posOffset>895667</wp:posOffset>
                </wp:positionH>
                <wp:positionV relativeFrom="paragraph">
                  <wp:posOffset>283898</wp:posOffset>
                </wp:positionV>
                <wp:extent cx="5984240"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9525"/>
                        </a:xfrm>
                        <a:custGeom>
                          <a:avLst/>
                          <a:gdLst/>
                          <a:ahLst/>
                          <a:cxnLst/>
                          <a:rect l="l" t="t" r="r" b="b"/>
                          <a:pathLst>
                            <a:path w="5984240" h="9525">
                              <a:moveTo>
                                <a:pt x="5984240" y="0"/>
                              </a:moveTo>
                              <a:lnTo>
                                <a:pt x="0" y="0"/>
                              </a:lnTo>
                              <a:lnTo>
                                <a:pt x="0" y="9525"/>
                              </a:lnTo>
                              <a:lnTo>
                                <a:pt x="5984240" y="9525"/>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5BB6DC" id="Graphic 8" o:spid="_x0000_s1026" style="position:absolute;margin-left:70.5pt;margin-top:22.35pt;width:471.2pt;height:.75pt;z-index:-251611648;visibility:visible;mso-wrap-style:square;mso-wrap-distance-left:0;mso-wrap-distance-top:0;mso-wrap-distance-right:0;mso-wrap-distance-bottom:0;mso-position-horizontal:absolute;mso-position-horizontal-relative:page;mso-position-vertical:absolute;mso-position-vertical-relative:text;v-text-anchor:top" coordsize="59842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" path="m5984240,l,,,9525r5984240,l5984240,xe" fillcolor="black" stroked="f">
                <v:path arrowok="t"/>
                <w10:wrap type="topAndBottom" anchorx="page"/>
              </v:shape>
            </w:pict>
          </mc:Fallback>
        </mc:AlternateContent>
      </w:r>
      <w:r w:rsidRPr="0001291E">
        <w:rPr>
          <w:b/>
          <w:i/>
          <w:sz w:val="20"/>
          <w:szCs w:val="20"/>
        </w:rPr>
        <w:t>Keywords:</w:t>
      </w:r>
      <w:r w:rsidRPr="0001291E">
        <w:rPr>
          <w:b/>
          <w:i/>
          <w:spacing w:val="-8"/>
          <w:sz w:val="20"/>
          <w:szCs w:val="20"/>
        </w:rPr>
        <w:t xml:space="preserve"> </w:t>
      </w:r>
      <w:r w:rsidRPr="0001291E">
        <w:rPr>
          <w:i/>
          <w:sz w:val="20"/>
          <w:szCs w:val="20"/>
        </w:rPr>
        <w:t>Sustainability,</w:t>
      </w:r>
      <w:r w:rsidRPr="0001291E">
        <w:rPr>
          <w:i/>
          <w:spacing w:val="-8"/>
          <w:sz w:val="20"/>
          <w:szCs w:val="20"/>
        </w:rPr>
        <w:t xml:space="preserve"> </w:t>
      </w:r>
      <w:r w:rsidRPr="0001291E">
        <w:rPr>
          <w:i/>
          <w:sz w:val="20"/>
          <w:szCs w:val="20"/>
        </w:rPr>
        <w:t>Governance,</w:t>
      </w:r>
      <w:r w:rsidRPr="0001291E">
        <w:rPr>
          <w:i/>
          <w:spacing w:val="-8"/>
          <w:sz w:val="20"/>
          <w:szCs w:val="20"/>
        </w:rPr>
        <w:t xml:space="preserve"> </w:t>
      </w:r>
      <w:r w:rsidRPr="0001291E">
        <w:rPr>
          <w:i/>
          <w:sz w:val="20"/>
          <w:szCs w:val="20"/>
        </w:rPr>
        <w:t>investment,</w:t>
      </w:r>
      <w:r w:rsidRPr="0001291E">
        <w:rPr>
          <w:i/>
          <w:spacing w:val="-8"/>
          <w:sz w:val="20"/>
          <w:szCs w:val="20"/>
        </w:rPr>
        <w:t xml:space="preserve"> </w:t>
      </w:r>
      <w:r w:rsidRPr="0001291E">
        <w:rPr>
          <w:i/>
          <w:sz w:val="20"/>
          <w:szCs w:val="20"/>
        </w:rPr>
        <w:t>ESG</w:t>
      </w:r>
      <w:r w:rsidRPr="0001291E">
        <w:rPr>
          <w:i/>
          <w:spacing w:val="-7"/>
          <w:sz w:val="20"/>
          <w:szCs w:val="20"/>
        </w:rPr>
        <w:t xml:space="preserve"> </w:t>
      </w:r>
      <w:r w:rsidRPr="0001291E">
        <w:rPr>
          <w:i/>
          <w:sz w:val="20"/>
          <w:szCs w:val="20"/>
        </w:rPr>
        <w:t>awareness,</w:t>
      </w:r>
      <w:r w:rsidRPr="0001291E">
        <w:rPr>
          <w:i/>
          <w:spacing w:val="-3"/>
          <w:sz w:val="20"/>
          <w:szCs w:val="20"/>
        </w:rPr>
        <w:t xml:space="preserve"> </w:t>
      </w:r>
      <w:r w:rsidRPr="0001291E">
        <w:rPr>
          <w:i/>
          <w:spacing w:val="-2"/>
          <w:sz w:val="20"/>
          <w:szCs w:val="20"/>
        </w:rPr>
        <w:t>behaviour.</w:t>
      </w:r>
    </w:p>
    <w:p w14:paraId="6EAF4C9B" w14:textId="77777777" w:rsidR="00475FA2" w:rsidRDefault="00475FA2" w:rsidP="00475FA2">
      <w:pPr>
        <w:pStyle w:val="Heading2"/>
        <w:numPr>
          <w:ilvl w:val="0"/>
          <w:numId w:val="2"/>
        </w:numPr>
        <w:tabs>
          <w:tab w:val="left" w:pos="180"/>
        </w:tabs>
        <w:spacing w:before="120" w:line="276" w:lineRule="auto"/>
        <w:ind w:left="720" w:hanging="720"/>
        <w:jc w:val="both"/>
        <w:rPr>
          <w:spacing w:val="-2"/>
          <w:sz w:val="20"/>
          <w:szCs w:val="20"/>
        </w:rPr>
        <w:sectPr w:rsidR="00475FA2" w:rsidSect="00226373">
          <w:headerReference w:type="default" r:id="rId8"/>
          <w:footerReference w:type="default" r:id="rId9"/>
          <w:pgSz w:w="12240" w:h="15840" w:code="1"/>
          <w:pgMar w:top="1440" w:right="1440" w:bottom="1440" w:left="1440" w:header="706" w:footer="706" w:gutter="0"/>
          <w:pgNumType w:start="666"/>
          <w:cols w:space="720"/>
          <w:docGrid w:linePitch="299"/>
        </w:sectPr>
      </w:pPr>
    </w:p>
    <w:p w14:paraId="671A5E76" w14:textId="77777777" w:rsidR="002D42C2" w:rsidRPr="0001291E" w:rsidRDefault="009B3576" w:rsidP="00475FA2">
      <w:pPr>
        <w:pStyle w:val="Heading2"/>
        <w:numPr>
          <w:ilvl w:val="0"/>
          <w:numId w:val="2"/>
        </w:numPr>
        <w:tabs>
          <w:tab w:val="left" w:pos="180"/>
        </w:tabs>
        <w:spacing w:before="120" w:line="276" w:lineRule="auto"/>
        <w:ind w:left="720" w:hanging="720"/>
        <w:jc w:val="both"/>
        <w:rPr>
          <w:sz w:val="20"/>
          <w:szCs w:val="20"/>
        </w:rPr>
      </w:pPr>
      <w:r w:rsidRPr="0001291E">
        <w:rPr>
          <w:spacing w:val="-2"/>
          <w:sz w:val="20"/>
          <w:szCs w:val="20"/>
        </w:rPr>
        <w:t>INTRODUCTION</w:t>
      </w:r>
    </w:p>
    <w:p w14:paraId="79A6B931" w14:textId="77777777" w:rsidR="002D42C2" w:rsidRPr="0001291E" w:rsidRDefault="009B3576" w:rsidP="00475FA2">
      <w:pPr>
        <w:pStyle w:val="BodyText"/>
        <w:spacing w:before="120" w:line="276" w:lineRule="auto"/>
        <w:jc w:val="both"/>
        <w:rPr>
          <w:sz w:val="20"/>
          <w:szCs w:val="20"/>
        </w:rPr>
      </w:pPr>
      <w:r w:rsidRPr="0001291E">
        <w:rPr>
          <w:sz w:val="20"/>
          <w:szCs w:val="20"/>
        </w:rPr>
        <w:t>In recent years, Environmental, Social, and Governance (ESG) criteria have emerged as critical factors influencing financial markets and investment decisions. With growing concerns over climate change, corporate ethics, and governance practices, investors are increasingly considering sustainability alongside</w:t>
      </w:r>
      <w:r w:rsidRPr="0001291E">
        <w:rPr>
          <w:spacing w:val="33"/>
          <w:sz w:val="20"/>
          <w:szCs w:val="20"/>
        </w:rPr>
        <w:t xml:space="preserve"> </w:t>
      </w:r>
      <w:r w:rsidRPr="0001291E">
        <w:rPr>
          <w:sz w:val="20"/>
          <w:szCs w:val="20"/>
        </w:rPr>
        <w:t>traditional</w:t>
      </w:r>
      <w:r w:rsidRPr="0001291E">
        <w:rPr>
          <w:spacing w:val="33"/>
          <w:sz w:val="20"/>
          <w:szCs w:val="20"/>
        </w:rPr>
        <w:t xml:space="preserve"> </w:t>
      </w:r>
      <w:r w:rsidRPr="0001291E">
        <w:rPr>
          <w:sz w:val="20"/>
          <w:szCs w:val="20"/>
        </w:rPr>
        <w:t>financial</w:t>
      </w:r>
      <w:r w:rsidRPr="0001291E">
        <w:rPr>
          <w:spacing w:val="33"/>
          <w:sz w:val="20"/>
          <w:szCs w:val="20"/>
        </w:rPr>
        <w:t xml:space="preserve"> </w:t>
      </w:r>
      <w:r w:rsidRPr="0001291E">
        <w:rPr>
          <w:sz w:val="20"/>
          <w:szCs w:val="20"/>
        </w:rPr>
        <w:t>metrics.</w:t>
      </w:r>
      <w:r w:rsidRPr="0001291E">
        <w:rPr>
          <w:spacing w:val="35"/>
          <w:sz w:val="20"/>
          <w:szCs w:val="20"/>
        </w:rPr>
        <w:t xml:space="preserve"> </w:t>
      </w:r>
      <w:r w:rsidRPr="0001291E">
        <w:rPr>
          <w:spacing w:val="-4"/>
          <w:sz w:val="20"/>
          <w:szCs w:val="20"/>
        </w:rPr>
        <w:t>This</w:t>
      </w:r>
    </w:p>
    <w:p w14:paraId="0C1B9553" w14:textId="7D7D88A9" w:rsidR="002D42C2" w:rsidRPr="0001291E" w:rsidRDefault="009B3576" w:rsidP="00475FA2">
      <w:pPr>
        <w:pStyle w:val="BodyText"/>
        <w:spacing w:before="120" w:line="276" w:lineRule="auto"/>
        <w:jc w:val="both"/>
        <w:rPr>
          <w:sz w:val="20"/>
          <w:szCs w:val="20"/>
        </w:rPr>
      </w:pPr>
      <w:r w:rsidRPr="0001291E">
        <w:rPr>
          <w:spacing w:val="-2"/>
          <w:sz w:val="20"/>
          <w:szCs w:val="20"/>
        </w:rPr>
        <w:t>shift</w:t>
      </w:r>
      <w:r w:rsidRPr="0001291E">
        <w:rPr>
          <w:spacing w:val="-13"/>
          <w:sz w:val="20"/>
          <w:szCs w:val="20"/>
        </w:rPr>
        <w:t xml:space="preserve"> </w:t>
      </w:r>
      <w:r w:rsidRPr="0001291E">
        <w:rPr>
          <w:spacing w:val="-2"/>
          <w:sz w:val="20"/>
          <w:szCs w:val="20"/>
        </w:rPr>
        <w:t>reflects</w:t>
      </w:r>
      <w:r w:rsidRPr="0001291E">
        <w:rPr>
          <w:spacing w:val="-11"/>
          <w:sz w:val="20"/>
          <w:szCs w:val="20"/>
        </w:rPr>
        <w:t xml:space="preserve"> </w:t>
      </w:r>
      <w:r w:rsidRPr="0001291E">
        <w:rPr>
          <w:spacing w:val="-2"/>
          <w:sz w:val="20"/>
          <w:szCs w:val="20"/>
        </w:rPr>
        <w:t>a</w:t>
      </w:r>
      <w:r w:rsidRPr="0001291E">
        <w:rPr>
          <w:spacing w:val="-13"/>
          <w:sz w:val="20"/>
          <w:szCs w:val="20"/>
        </w:rPr>
        <w:t xml:space="preserve"> </w:t>
      </w:r>
      <w:r w:rsidRPr="0001291E">
        <w:rPr>
          <w:spacing w:val="-2"/>
          <w:sz w:val="20"/>
          <w:szCs w:val="20"/>
        </w:rPr>
        <w:t>broader</w:t>
      </w:r>
      <w:r w:rsidRPr="0001291E">
        <w:rPr>
          <w:spacing w:val="-11"/>
          <w:sz w:val="20"/>
          <w:szCs w:val="20"/>
        </w:rPr>
        <w:t xml:space="preserve"> </w:t>
      </w:r>
      <w:r w:rsidRPr="0001291E">
        <w:rPr>
          <w:spacing w:val="-2"/>
          <w:sz w:val="20"/>
          <w:szCs w:val="20"/>
        </w:rPr>
        <w:t>trend</w:t>
      </w:r>
      <w:r w:rsidRPr="0001291E">
        <w:rPr>
          <w:spacing w:val="-12"/>
          <w:sz w:val="20"/>
          <w:szCs w:val="20"/>
        </w:rPr>
        <w:t xml:space="preserve"> </w:t>
      </w:r>
      <w:r w:rsidRPr="0001291E">
        <w:rPr>
          <w:spacing w:val="-2"/>
          <w:sz w:val="20"/>
          <w:szCs w:val="20"/>
        </w:rPr>
        <w:t>where</w:t>
      </w:r>
      <w:r w:rsidRPr="0001291E">
        <w:rPr>
          <w:spacing w:val="-13"/>
          <w:sz w:val="20"/>
          <w:szCs w:val="20"/>
        </w:rPr>
        <w:t xml:space="preserve"> </w:t>
      </w:r>
      <w:r w:rsidRPr="0001291E">
        <w:rPr>
          <w:spacing w:val="-2"/>
          <w:sz w:val="20"/>
          <w:szCs w:val="20"/>
        </w:rPr>
        <w:t>ethical</w:t>
      </w:r>
      <w:r w:rsidRPr="0001291E">
        <w:rPr>
          <w:spacing w:val="-13"/>
          <w:sz w:val="20"/>
          <w:szCs w:val="20"/>
        </w:rPr>
        <w:t xml:space="preserve"> </w:t>
      </w:r>
      <w:r w:rsidRPr="0001291E">
        <w:rPr>
          <w:spacing w:val="-2"/>
          <w:sz w:val="20"/>
          <w:szCs w:val="20"/>
        </w:rPr>
        <w:t xml:space="preserve">and </w:t>
      </w:r>
      <w:r w:rsidRPr="0001291E">
        <w:rPr>
          <w:sz w:val="20"/>
          <w:szCs w:val="20"/>
        </w:rPr>
        <w:t>responsible investing is not only a moral choice</w:t>
      </w:r>
      <w:r w:rsidRPr="0001291E">
        <w:rPr>
          <w:spacing w:val="-10"/>
          <w:sz w:val="20"/>
          <w:szCs w:val="20"/>
        </w:rPr>
        <w:t xml:space="preserve"> </w:t>
      </w:r>
      <w:r w:rsidRPr="0001291E">
        <w:rPr>
          <w:sz w:val="20"/>
          <w:szCs w:val="20"/>
        </w:rPr>
        <w:t>but</w:t>
      </w:r>
      <w:r w:rsidRPr="0001291E">
        <w:rPr>
          <w:spacing w:val="-10"/>
          <w:sz w:val="20"/>
          <w:szCs w:val="20"/>
        </w:rPr>
        <w:t xml:space="preserve"> </w:t>
      </w:r>
      <w:r w:rsidRPr="0001291E">
        <w:rPr>
          <w:sz w:val="20"/>
          <w:szCs w:val="20"/>
        </w:rPr>
        <w:t>also</w:t>
      </w:r>
      <w:r w:rsidRPr="0001291E">
        <w:rPr>
          <w:spacing w:val="-8"/>
          <w:sz w:val="20"/>
          <w:szCs w:val="20"/>
        </w:rPr>
        <w:t xml:space="preserve"> </w:t>
      </w:r>
      <w:r w:rsidRPr="0001291E">
        <w:rPr>
          <w:sz w:val="20"/>
          <w:szCs w:val="20"/>
        </w:rPr>
        <w:t>a</w:t>
      </w:r>
      <w:r w:rsidRPr="0001291E">
        <w:rPr>
          <w:spacing w:val="-10"/>
          <w:sz w:val="20"/>
          <w:szCs w:val="20"/>
        </w:rPr>
        <w:t xml:space="preserve"> </w:t>
      </w:r>
      <w:r w:rsidRPr="0001291E">
        <w:rPr>
          <w:sz w:val="20"/>
          <w:szCs w:val="20"/>
        </w:rPr>
        <w:t>strategy</w:t>
      </w:r>
      <w:r w:rsidRPr="0001291E">
        <w:rPr>
          <w:spacing w:val="-8"/>
          <w:sz w:val="20"/>
          <w:szCs w:val="20"/>
        </w:rPr>
        <w:t xml:space="preserve"> </w:t>
      </w:r>
      <w:r w:rsidRPr="0001291E">
        <w:rPr>
          <w:sz w:val="20"/>
          <w:szCs w:val="20"/>
        </w:rPr>
        <w:t>for</w:t>
      </w:r>
      <w:r w:rsidRPr="0001291E">
        <w:rPr>
          <w:spacing w:val="-8"/>
          <w:sz w:val="20"/>
          <w:szCs w:val="20"/>
        </w:rPr>
        <w:t xml:space="preserve"> </w:t>
      </w:r>
      <w:r w:rsidRPr="0001291E">
        <w:rPr>
          <w:sz w:val="20"/>
          <w:szCs w:val="20"/>
        </w:rPr>
        <w:t>long-term</w:t>
      </w:r>
      <w:r w:rsidRPr="0001291E">
        <w:rPr>
          <w:spacing w:val="-10"/>
          <w:sz w:val="20"/>
          <w:szCs w:val="20"/>
        </w:rPr>
        <w:t xml:space="preserve"> </w:t>
      </w:r>
      <w:r w:rsidRPr="0001291E">
        <w:rPr>
          <w:sz w:val="20"/>
          <w:szCs w:val="20"/>
        </w:rPr>
        <w:t>value creation. The rise of ESG</w:t>
      </w:r>
      <w:r w:rsidRPr="0001291E">
        <w:rPr>
          <w:spacing w:val="-1"/>
          <w:sz w:val="20"/>
          <w:szCs w:val="20"/>
        </w:rPr>
        <w:t xml:space="preserve"> </w:t>
      </w:r>
      <w:r w:rsidRPr="0001291E">
        <w:rPr>
          <w:sz w:val="20"/>
          <w:szCs w:val="20"/>
        </w:rPr>
        <w:t xml:space="preserve">investing is driven by multiple factors, including regulatory frameworks, corporate sustainability </w:t>
      </w:r>
      <w:r w:rsidRPr="0001291E">
        <w:rPr>
          <w:spacing w:val="-2"/>
          <w:sz w:val="20"/>
          <w:szCs w:val="20"/>
        </w:rPr>
        <w:t>initiatives,</w:t>
      </w:r>
      <w:r w:rsidRPr="0001291E">
        <w:rPr>
          <w:spacing w:val="-8"/>
          <w:sz w:val="20"/>
          <w:szCs w:val="20"/>
        </w:rPr>
        <w:t xml:space="preserve"> </w:t>
      </w:r>
      <w:r w:rsidRPr="0001291E">
        <w:rPr>
          <w:spacing w:val="-2"/>
          <w:sz w:val="20"/>
          <w:szCs w:val="20"/>
        </w:rPr>
        <w:t>and</w:t>
      </w:r>
      <w:r w:rsidRPr="0001291E">
        <w:rPr>
          <w:spacing w:val="-8"/>
          <w:sz w:val="20"/>
          <w:szCs w:val="20"/>
        </w:rPr>
        <w:t xml:space="preserve"> </w:t>
      </w:r>
      <w:r w:rsidRPr="0001291E">
        <w:rPr>
          <w:spacing w:val="-2"/>
          <w:sz w:val="20"/>
          <w:szCs w:val="20"/>
        </w:rPr>
        <w:t>changing</w:t>
      </w:r>
      <w:r w:rsidRPr="0001291E">
        <w:rPr>
          <w:spacing w:val="-8"/>
          <w:sz w:val="20"/>
          <w:szCs w:val="20"/>
        </w:rPr>
        <w:t xml:space="preserve"> </w:t>
      </w:r>
      <w:r w:rsidRPr="0001291E">
        <w:rPr>
          <w:spacing w:val="-2"/>
          <w:sz w:val="20"/>
          <w:szCs w:val="20"/>
        </w:rPr>
        <w:t>investor</w:t>
      </w:r>
      <w:r w:rsidRPr="0001291E">
        <w:rPr>
          <w:spacing w:val="-13"/>
          <w:sz w:val="20"/>
          <w:szCs w:val="20"/>
        </w:rPr>
        <w:t xml:space="preserve"> </w:t>
      </w:r>
      <w:r w:rsidRPr="0001291E">
        <w:rPr>
          <w:spacing w:val="-2"/>
          <w:sz w:val="20"/>
          <w:szCs w:val="20"/>
        </w:rPr>
        <w:t xml:space="preserve">preferences. </w:t>
      </w:r>
      <w:r w:rsidRPr="0001291E">
        <w:rPr>
          <w:sz w:val="20"/>
          <w:szCs w:val="20"/>
        </w:rPr>
        <w:t>Institutional investors have been at the forefront</w:t>
      </w:r>
      <w:r w:rsidRPr="0001291E">
        <w:rPr>
          <w:spacing w:val="28"/>
          <w:sz w:val="20"/>
          <w:szCs w:val="20"/>
        </w:rPr>
        <w:t xml:space="preserve"> </w:t>
      </w:r>
      <w:r w:rsidRPr="0001291E">
        <w:rPr>
          <w:sz w:val="20"/>
          <w:szCs w:val="20"/>
        </w:rPr>
        <w:t>of</w:t>
      </w:r>
      <w:r w:rsidRPr="0001291E">
        <w:rPr>
          <w:spacing w:val="30"/>
          <w:sz w:val="20"/>
          <w:szCs w:val="20"/>
        </w:rPr>
        <w:t xml:space="preserve"> </w:t>
      </w:r>
      <w:r w:rsidRPr="0001291E">
        <w:rPr>
          <w:sz w:val="20"/>
          <w:szCs w:val="20"/>
        </w:rPr>
        <w:t>ESG</w:t>
      </w:r>
      <w:r w:rsidRPr="0001291E">
        <w:rPr>
          <w:spacing w:val="27"/>
          <w:sz w:val="20"/>
          <w:szCs w:val="20"/>
        </w:rPr>
        <w:t xml:space="preserve"> </w:t>
      </w:r>
      <w:r w:rsidRPr="0001291E">
        <w:rPr>
          <w:sz w:val="20"/>
          <w:szCs w:val="20"/>
        </w:rPr>
        <w:t>integration,</w:t>
      </w:r>
      <w:r w:rsidRPr="0001291E">
        <w:rPr>
          <w:spacing w:val="25"/>
          <w:sz w:val="20"/>
          <w:szCs w:val="20"/>
        </w:rPr>
        <w:t xml:space="preserve"> </w:t>
      </w:r>
      <w:r w:rsidRPr="0001291E">
        <w:rPr>
          <w:sz w:val="20"/>
          <w:szCs w:val="20"/>
        </w:rPr>
        <w:t>but</w:t>
      </w:r>
      <w:r w:rsidRPr="0001291E">
        <w:rPr>
          <w:spacing w:val="29"/>
          <w:sz w:val="20"/>
          <w:szCs w:val="20"/>
        </w:rPr>
        <w:t xml:space="preserve"> </w:t>
      </w:r>
      <w:r w:rsidRPr="0001291E">
        <w:rPr>
          <w:spacing w:val="-2"/>
          <w:sz w:val="20"/>
          <w:szCs w:val="20"/>
        </w:rPr>
        <w:t>individual</w:t>
      </w:r>
    </w:p>
    <w:p w14:paraId="3783D5E1" w14:textId="444F3153" w:rsidR="002D42C2" w:rsidRPr="0001291E" w:rsidRDefault="009B3576" w:rsidP="00475FA2">
      <w:pPr>
        <w:pStyle w:val="BodyText"/>
        <w:spacing w:before="120" w:line="276" w:lineRule="auto"/>
        <w:jc w:val="both"/>
        <w:rPr>
          <w:sz w:val="20"/>
          <w:szCs w:val="20"/>
        </w:rPr>
      </w:pPr>
      <w:r w:rsidRPr="0001291E">
        <w:rPr>
          <w:sz w:val="20"/>
          <w:szCs w:val="20"/>
        </w:rPr>
        <w:t>investors</w:t>
      </w:r>
      <w:r w:rsidRPr="0001291E">
        <w:rPr>
          <w:spacing w:val="-7"/>
          <w:sz w:val="20"/>
          <w:szCs w:val="20"/>
        </w:rPr>
        <w:t xml:space="preserve"> </w:t>
      </w:r>
      <w:r w:rsidRPr="0001291E">
        <w:rPr>
          <w:sz w:val="20"/>
          <w:szCs w:val="20"/>
        </w:rPr>
        <w:t>are</w:t>
      </w:r>
      <w:r w:rsidRPr="0001291E">
        <w:rPr>
          <w:spacing w:val="-6"/>
          <w:sz w:val="20"/>
          <w:szCs w:val="20"/>
        </w:rPr>
        <w:t xml:space="preserve"> </w:t>
      </w:r>
      <w:r w:rsidRPr="0001291E">
        <w:rPr>
          <w:sz w:val="20"/>
          <w:szCs w:val="20"/>
        </w:rPr>
        <w:t>also</w:t>
      </w:r>
      <w:r w:rsidRPr="0001291E">
        <w:rPr>
          <w:spacing w:val="-8"/>
          <w:sz w:val="20"/>
          <w:szCs w:val="20"/>
        </w:rPr>
        <w:t xml:space="preserve"> </w:t>
      </w:r>
      <w:r w:rsidRPr="0001291E">
        <w:rPr>
          <w:sz w:val="20"/>
          <w:szCs w:val="20"/>
        </w:rPr>
        <w:t>showing</w:t>
      </w:r>
      <w:r w:rsidRPr="0001291E">
        <w:rPr>
          <w:spacing w:val="-5"/>
          <w:sz w:val="20"/>
          <w:szCs w:val="20"/>
        </w:rPr>
        <w:t xml:space="preserve"> </w:t>
      </w:r>
      <w:r w:rsidRPr="0001291E">
        <w:rPr>
          <w:sz w:val="20"/>
          <w:szCs w:val="20"/>
        </w:rPr>
        <w:t>a</w:t>
      </w:r>
      <w:r w:rsidRPr="0001291E">
        <w:rPr>
          <w:spacing w:val="-6"/>
          <w:sz w:val="20"/>
          <w:szCs w:val="20"/>
        </w:rPr>
        <w:t xml:space="preserve"> </w:t>
      </w:r>
      <w:r w:rsidRPr="0001291E">
        <w:rPr>
          <w:sz w:val="20"/>
          <w:szCs w:val="20"/>
        </w:rPr>
        <w:t>rising</w:t>
      </w:r>
      <w:r w:rsidRPr="0001291E">
        <w:rPr>
          <w:spacing w:val="-5"/>
          <w:sz w:val="20"/>
          <w:szCs w:val="20"/>
        </w:rPr>
        <w:t xml:space="preserve"> </w:t>
      </w:r>
      <w:r w:rsidRPr="0001291E">
        <w:rPr>
          <w:sz w:val="20"/>
          <w:szCs w:val="20"/>
        </w:rPr>
        <w:t>interest</w:t>
      </w:r>
      <w:r w:rsidRPr="0001291E">
        <w:rPr>
          <w:spacing w:val="-6"/>
          <w:sz w:val="20"/>
          <w:szCs w:val="20"/>
        </w:rPr>
        <w:t xml:space="preserve"> </w:t>
      </w:r>
      <w:r w:rsidRPr="0001291E">
        <w:rPr>
          <w:sz w:val="20"/>
          <w:szCs w:val="20"/>
        </w:rPr>
        <w:t>in aligning their portfolios with their values. However,</w:t>
      </w:r>
      <w:r w:rsidRPr="0001291E">
        <w:rPr>
          <w:spacing w:val="-10"/>
          <w:sz w:val="20"/>
          <w:szCs w:val="20"/>
        </w:rPr>
        <w:t xml:space="preserve"> </w:t>
      </w:r>
      <w:r w:rsidRPr="0001291E">
        <w:rPr>
          <w:sz w:val="20"/>
          <w:szCs w:val="20"/>
        </w:rPr>
        <w:t>the</w:t>
      </w:r>
      <w:r w:rsidRPr="0001291E">
        <w:rPr>
          <w:spacing w:val="-12"/>
          <w:sz w:val="20"/>
          <w:szCs w:val="20"/>
        </w:rPr>
        <w:t xml:space="preserve"> </w:t>
      </w:r>
      <w:r w:rsidRPr="0001291E">
        <w:rPr>
          <w:sz w:val="20"/>
          <w:szCs w:val="20"/>
        </w:rPr>
        <w:t>level</w:t>
      </w:r>
      <w:r w:rsidRPr="0001291E">
        <w:rPr>
          <w:spacing w:val="-12"/>
          <w:sz w:val="20"/>
          <w:szCs w:val="20"/>
        </w:rPr>
        <w:t xml:space="preserve"> </w:t>
      </w:r>
      <w:r w:rsidRPr="0001291E">
        <w:rPr>
          <w:sz w:val="20"/>
          <w:szCs w:val="20"/>
        </w:rPr>
        <w:t>of</w:t>
      </w:r>
      <w:r w:rsidRPr="0001291E">
        <w:rPr>
          <w:spacing w:val="-10"/>
          <w:sz w:val="20"/>
          <w:szCs w:val="20"/>
        </w:rPr>
        <w:t xml:space="preserve"> </w:t>
      </w:r>
      <w:r w:rsidRPr="0001291E">
        <w:rPr>
          <w:sz w:val="20"/>
          <w:szCs w:val="20"/>
        </w:rPr>
        <w:t>ESG</w:t>
      </w:r>
      <w:r w:rsidRPr="0001291E">
        <w:rPr>
          <w:spacing w:val="-14"/>
          <w:sz w:val="20"/>
          <w:szCs w:val="20"/>
        </w:rPr>
        <w:t xml:space="preserve"> </w:t>
      </w:r>
      <w:r w:rsidRPr="0001291E">
        <w:rPr>
          <w:sz w:val="20"/>
          <w:szCs w:val="20"/>
        </w:rPr>
        <w:t>awareness</w:t>
      </w:r>
      <w:r w:rsidRPr="0001291E">
        <w:rPr>
          <w:spacing w:val="-10"/>
          <w:sz w:val="20"/>
          <w:szCs w:val="20"/>
        </w:rPr>
        <w:t xml:space="preserve"> </w:t>
      </w:r>
      <w:r w:rsidRPr="0001291E">
        <w:rPr>
          <w:sz w:val="20"/>
          <w:szCs w:val="20"/>
        </w:rPr>
        <w:t>among retail</w:t>
      </w:r>
      <w:r w:rsidRPr="0001291E">
        <w:rPr>
          <w:spacing w:val="-1"/>
          <w:sz w:val="20"/>
          <w:szCs w:val="20"/>
        </w:rPr>
        <w:t xml:space="preserve"> </w:t>
      </w:r>
      <w:r w:rsidRPr="0001291E">
        <w:rPr>
          <w:sz w:val="20"/>
          <w:szCs w:val="20"/>
        </w:rPr>
        <w:t>investors varies significantly,</w:t>
      </w:r>
      <w:r w:rsidRPr="0001291E">
        <w:rPr>
          <w:spacing w:val="-1"/>
          <w:sz w:val="20"/>
          <w:szCs w:val="20"/>
        </w:rPr>
        <w:t xml:space="preserve"> </w:t>
      </w:r>
      <w:r w:rsidRPr="0001291E">
        <w:rPr>
          <w:sz w:val="20"/>
          <w:szCs w:val="20"/>
        </w:rPr>
        <w:t xml:space="preserve">affecting their ability to make informed investment </w:t>
      </w:r>
      <w:r w:rsidRPr="0001291E">
        <w:rPr>
          <w:spacing w:val="-2"/>
          <w:sz w:val="20"/>
          <w:szCs w:val="20"/>
        </w:rPr>
        <w:t>choices.</w:t>
      </w:r>
    </w:p>
    <w:p w14:paraId="57B0EC48" w14:textId="77777777" w:rsidR="002D42C2" w:rsidRPr="0001291E" w:rsidRDefault="009B3576" w:rsidP="00475FA2">
      <w:pPr>
        <w:pStyle w:val="BodyText"/>
        <w:spacing w:before="120" w:line="276" w:lineRule="auto"/>
        <w:jc w:val="both"/>
        <w:rPr>
          <w:sz w:val="20"/>
          <w:szCs w:val="20"/>
        </w:rPr>
      </w:pPr>
      <w:r w:rsidRPr="0001291E">
        <w:rPr>
          <w:sz w:val="20"/>
          <w:szCs w:val="20"/>
        </w:rPr>
        <w:t>This</w:t>
      </w:r>
      <w:r w:rsidRPr="0001291E">
        <w:rPr>
          <w:spacing w:val="-15"/>
          <w:sz w:val="20"/>
          <w:szCs w:val="20"/>
        </w:rPr>
        <w:t xml:space="preserve"> </w:t>
      </w:r>
      <w:r w:rsidRPr="0001291E">
        <w:rPr>
          <w:sz w:val="20"/>
          <w:szCs w:val="20"/>
        </w:rPr>
        <w:t>study</w:t>
      </w:r>
      <w:r w:rsidRPr="0001291E">
        <w:rPr>
          <w:spacing w:val="-15"/>
          <w:sz w:val="20"/>
          <w:szCs w:val="20"/>
        </w:rPr>
        <w:t xml:space="preserve"> </w:t>
      </w:r>
      <w:r w:rsidRPr="0001291E">
        <w:rPr>
          <w:sz w:val="20"/>
          <w:szCs w:val="20"/>
        </w:rPr>
        <w:t>aims</w:t>
      </w:r>
      <w:r w:rsidRPr="0001291E">
        <w:rPr>
          <w:spacing w:val="-15"/>
          <w:sz w:val="20"/>
          <w:szCs w:val="20"/>
        </w:rPr>
        <w:t xml:space="preserve"> </w:t>
      </w:r>
      <w:r w:rsidRPr="0001291E">
        <w:rPr>
          <w:sz w:val="20"/>
          <w:szCs w:val="20"/>
        </w:rPr>
        <w:t>to</w:t>
      </w:r>
      <w:r w:rsidRPr="0001291E">
        <w:rPr>
          <w:spacing w:val="-15"/>
          <w:sz w:val="20"/>
          <w:szCs w:val="20"/>
        </w:rPr>
        <w:t xml:space="preserve"> </w:t>
      </w:r>
      <w:r w:rsidRPr="0001291E">
        <w:rPr>
          <w:sz w:val="20"/>
          <w:szCs w:val="20"/>
        </w:rPr>
        <w:t>explore</w:t>
      </w:r>
      <w:r w:rsidRPr="0001291E">
        <w:rPr>
          <w:spacing w:val="-15"/>
          <w:sz w:val="20"/>
          <w:szCs w:val="20"/>
        </w:rPr>
        <w:t xml:space="preserve"> </w:t>
      </w:r>
      <w:r w:rsidRPr="0001291E">
        <w:rPr>
          <w:sz w:val="20"/>
          <w:szCs w:val="20"/>
        </w:rPr>
        <w:t>the</w:t>
      </w:r>
      <w:r w:rsidRPr="0001291E">
        <w:rPr>
          <w:spacing w:val="-15"/>
          <w:sz w:val="20"/>
          <w:szCs w:val="20"/>
        </w:rPr>
        <w:t xml:space="preserve"> </w:t>
      </w:r>
      <w:r w:rsidRPr="0001291E">
        <w:rPr>
          <w:sz w:val="20"/>
          <w:szCs w:val="20"/>
        </w:rPr>
        <w:t>relationship between ESG awareness and personal investment decisions. It examines how knowledge of ESG factors influences investment preferences, whether it leads to a higher allocation in sustainable assets, and what barriers exist to ESG adoption among individual investors. By analyzing survey responses and reviewing existing literature, this research provides insights into the evolving landscape of sustainable investing.</w:t>
      </w:r>
    </w:p>
    <w:p w14:paraId="3965744D" w14:textId="77777777" w:rsidR="002D42C2" w:rsidRPr="0001291E" w:rsidRDefault="009B3576" w:rsidP="00475FA2">
      <w:pPr>
        <w:pStyle w:val="Heading2"/>
        <w:numPr>
          <w:ilvl w:val="0"/>
          <w:numId w:val="2"/>
        </w:numPr>
        <w:tabs>
          <w:tab w:val="left" w:pos="270"/>
          <w:tab w:val="left" w:pos="2160"/>
        </w:tabs>
        <w:spacing w:before="120" w:line="276" w:lineRule="auto"/>
        <w:ind w:left="720" w:hanging="720"/>
        <w:jc w:val="both"/>
        <w:rPr>
          <w:sz w:val="20"/>
          <w:szCs w:val="20"/>
        </w:rPr>
      </w:pPr>
      <w:r w:rsidRPr="0001291E">
        <w:rPr>
          <w:spacing w:val="-2"/>
          <w:sz w:val="20"/>
          <w:szCs w:val="20"/>
        </w:rPr>
        <w:t>OBJECTIVE</w:t>
      </w:r>
    </w:p>
    <w:p w14:paraId="042B8844" w14:textId="77777777" w:rsidR="002D42C2" w:rsidRPr="0001291E" w:rsidRDefault="009B3576" w:rsidP="00475FA2">
      <w:pPr>
        <w:pStyle w:val="BodyText"/>
        <w:spacing w:before="120" w:line="276" w:lineRule="auto"/>
        <w:jc w:val="both"/>
        <w:rPr>
          <w:sz w:val="20"/>
          <w:szCs w:val="20"/>
        </w:rPr>
      </w:pPr>
      <w:r w:rsidRPr="0001291E">
        <w:rPr>
          <w:sz w:val="20"/>
          <w:szCs w:val="20"/>
        </w:rPr>
        <w:t>The primary objective of this research is to examine</w:t>
      </w:r>
      <w:r w:rsidRPr="0001291E">
        <w:rPr>
          <w:spacing w:val="-1"/>
          <w:sz w:val="20"/>
          <w:szCs w:val="20"/>
        </w:rPr>
        <w:t xml:space="preserve"> </w:t>
      </w:r>
      <w:r w:rsidRPr="0001291E">
        <w:rPr>
          <w:sz w:val="20"/>
          <w:szCs w:val="20"/>
        </w:rPr>
        <w:t>the</w:t>
      </w:r>
      <w:r w:rsidRPr="0001291E">
        <w:rPr>
          <w:spacing w:val="-1"/>
          <w:sz w:val="20"/>
          <w:szCs w:val="20"/>
        </w:rPr>
        <w:t xml:space="preserve"> </w:t>
      </w:r>
      <w:r w:rsidRPr="0001291E">
        <w:rPr>
          <w:sz w:val="20"/>
          <w:szCs w:val="20"/>
        </w:rPr>
        <w:t>impact</w:t>
      </w:r>
      <w:r w:rsidRPr="0001291E">
        <w:rPr>
          <w:spacing w:val="-2"/>
          <w:sz w:val="20"/>
          <w:szCs w:val="20"/>
        </w:rPr>
        <w:t xml:space="preserve"> </w:t>
      </w:r>
      <w:r w:rsidRPr="0001291E">
        <w:rPr>
          <w:sz w:val="20"/>
          <w:szCs w:val="20"/>
        </w:rPr>
        <w:t>of</w:t>
      </w:r>
      <w:r w:rsidRPr="0001291E">
        <w:rPr>
          <w:spacing w:val="-1"/>
          <w:sz w:val="20"/>
          <w:szCs w:val="20"/>
        </w:rPr>
        <w:t xml:space="preserve"> </w:t>
      </w:r>
      <w:r w:rsidRPr="0001291E">
        <w:rPr>
          <w:sz w:val="20"/>
          <w:szCs w:val="20"/>
        </w:rPr>
        <w:t>ESG (Environmental, Social, and Governance) awareness on personal investment decisions. Specifically, the study aims to:</w:t>
      </w:r>
    </w:p>
    <w:p w14:paraId="15174776" w14:textId="77777777" w:rsidR="002D42C2" w:rsidRPr="0001291E" w:rsidRDefault="009B3576" w:rsidP="00475FA2">
      <w:pPr>
        <w:pStyle w:val="ListParagraph"/>
        <w:numPr>
          <w:ilvl w:val="0"/>
          <w:numId w:val="7"/>
        </w:numPr>
        <w:tabs>
          <w:tab w:val="left" w:pos="2161"/>
        </w:tabs>
        <w:spacing w:before="120" w:line="276" w:lineRule="auto"/>
        <w:ind w:left="360"/>
        <w:rPr>
          <w:sz w:val="20"/>
          <w:szCs w:val="20"/>
        </w:rPr>
      </w:pPr>
      <w:r w:rsidRPr="0001291E">
        <w:rPr>
          <w:sz w:val="20"/>
          <w:szCs w:val="20"/>
        </w:rPr>
        <w:t xml:space="preserve">Analyze how awareness of ESG factors influences individual investors' portfolio choices and asset </w:t>
      </w:r>
      <w:r w:rsidRPr="0001291E">
        <w:rPr>
          <w:spacing w:val="-2"/>
          <w:sz w:val="20"/>
          <w:szCs w:val="20"/>
        </w:rPr>
        <w:t>allocation,</w:t>
      </w:r>
      <w:r w:rsidRPr="0001291E">
        <w:rPr>
          <w:spacing w:val="-6"/>
          <w:sz w:val="20"/>
          <w:szCs w:val="20"/>
        </w:rPr>
        <w:t xml:space="preserve"> </w:t>
      </w:r>
      <w:r w:rsidRPr="0001291E">
        <w:rPr>
          <w:spacing w:val="-2"/>
          <w:sz w:val="20"/>
          <w:szCs w:val="20"/>
        </w:rPr>
        <w:t>with</w:t>
      </w:r>
      <w:r w:rsidRPr="0001291E">
        <w:rPr>
          <w:spacing w:val="-6"/>
          <w:sz w:val="20"/>
          <w:szCs w:val="20"/>
        </w:rPr>
        <w:t xml:space="preserve"> </w:t>
      </w:r>
      <w:r w:rsidRPr="0001291E">
        <w:rPr>
          <w:spacing w:val="-2"/>
          <w:sz w:val="20"/>
          <w:szCs w:val="20"/>
        </w:rPr>
        <w:t>a</w:t>
      </w:r>
      <w:r w:rsidRPr="0001291E">
        <w:rPr>
          <w:spacing w:val="-13"/>
          <w:sz w:val="20"/>
          <w:szCs w:val="20"/>
        </w:rPr>
        <w:t xml:space="preserve"> </w:t>
      </w:r>
      <w:r w:rsidRPr="0001291E">
        <w:rPr>
          <w:spacing w:val="-2"/>
          <w:sz w:val="20"/>
          <w:szCs w:val="20"/>
        </w:rPr>
        <w:t>focus</w:t>
      </w:r>
      <w:r w:rsidRPr="0001291E">
        <w:rPr>
          <w:spacing w:val="-10"/>
          <w:sz w:val="20"/>
          <w:szCs w:val="20"/>
        </w:rPr>
        <w:t xml:space="preserve"> </w:t>
      </w:r>
      <w:r w:rsidRPr="0001291E">
        <w:rPr>
          <w:spacing w:val="-2"/>
          <w:sz w:val="20"/>
          <w:szCs w:val="20"/>
        </w:rPr>
        <w:t>on</w:t>
      </w:r>
      <w:r w:rsidRPr="0001291E">
        <w:rPr>
          <w:spacing w:val="-6"/>
          <w:sz w:val="20"/>
          <w:szCs w:val="20"/>
        </w:rPr>
        <w:t xml:space="preserve"> </w:t>
      </w:r>
      <w:r w:rsidRPr="0001291E">
        <w:rPr>
          <w:spacing w:val="-2"/>
          <w:sz w:val="20"/>
          <w:szCs w:val="20"/>
        </w:rPr>
        <w:t xml:space="preserve">sustainable </w:t>
      </w:r>
      <w:r w:rsidRPr="0001291E">
        <w:rPr>
          <w:spacing w:val="-2"/>
          <w:sz w:val="20"/>
          <w:szCs w:val="20"/>
        </w:rPr>
        <w:lastRenderedPageBreak/>
        <w:t>investments.</w:t>
      </w:r>
    </w:p>
    <w:p w14:paraId="391D3A88" w14:textId="77777777" w:rsidR="002D42C2" w:rsidRPr="0001291E" w:rsidRDefault="009B3576" w:rsidP="00475FA2">
      <w:pPr>
        <w:pStyle w:val="ListParagraph"/>
        <w:numPr>
          <w:ilvl w:val="0"/>
          <w:numId w:val="7"/>
        </w:numPr>
        <w:tabs>
          <w:tab w:val="left" w:pos="2161"/>
        </w:tabs>
        <w:spacing w:before="120" w:line="276" w:lineRule="auto"/>
        <w:ind w:left="360"/>
        <w:rPr>
          <w:sz w:val="20"/>
          <w:szCs w:val="20"/>
        </w:rPr>
      </w:pPr>
      <w:r w:rsidRPr="0001291E">
        <w:rPr>
          <w:sz w:val="20"/>
          <w:szCs w:val="20"/>
        </w:rPr>
        <w:t>Investigate the key barriers and challenges such as information asymmetry and varying levels of knowledge</w:t>
      </w:r>
      <w:r w:rsidRPr="0001291E">
        <w:rPr>
          <w:spacing w:val="-14"/>
          <w:sz w:val="20"/>
          <w:szCs w:val="20"/>
        </w:rPr>
        <w:t xml:space="preserve"> </w:t>
      </w:r>
      <w:r w:rsidRPr="0001291E">
        <w:rPr>
          <w:sz w:val="20"/>
          <w:szCs w:val="20"/>
        </w:rPr>
        <w:t>that</w:t>
      </w:r>
      <w:r w:rsidRPr="0001291E">
        <w:rPr>
          <w:spacing w:val="-14"/>
          <w:sz w:val="20"/>
          <w:szCs w:val="20"/>
        </w:rPr>
        <w:t xml:space="preserve"> </w:t>
      </w:r>
      <w:r w:rsidRPr="0001291E">
        <w:rPr>
          <w:sz w:val="20"/>
          <w:szCs w:val="20"/>
        </w:rPr>
        <w:t>hinder</w:t>
      </w:r>
      <w:r w:rsidRPr="0001291E">
        <w:rPr>
          <w:spacing w:val="-13"/>
          <w:sz w:val="20"/>
          <w:szCs w:val="20"/>
        </w:rPr>
        <w:t xml:space="preserve"> </w:t>
      </w:r>
      <w:r w:rsidRPr="0001291E">
        <w:rPr>
          <w:sz w:val="20"/>
          <w:szCs w:val="20"/>
        </w:rPr>
        <w:t>or</w:t>
      </w:r>
      <w:r w:rsidRPr="0001291E">
        <w:rPr>
          <w:spacing w:val="-12"/>
          <w:sz w:val="20"/>
          <w:szCs w:val="20"/>
        </w:rPr>
        <w:t xml:space="preserve"> </w:t>
      </w:r>
      <w:r w:rsidRPr="0001291E">
        <w:rPr>
          <w:sz w:val="20"/>
          <w:szCs w:val="20"/>
        </w:rPr>
        <w:t>promote</w:t>
      </w:r>
      <w:r w:rsidRPr="0001291E">
        <w:rPr>
          <w:spacing w:val="-9"/>
          <w:sz w:val="20"/>
          <w:szCs w:val="20"/>
        </w:rPr>
        <w:t xml:space="preserve"> </w:t>
      </w:r>
      <w:r w:rsidRPr="0001291E">
        <w:rPr>
          <w:sz w:val="20"/>
          <w:szCs w:val="20"/>
        </w:rPr>
        <w:t>the integration of ESG factors into personal investment strategies.</w:t>
      </w:r>
    </w:p>
    <w:p w14:paraId="315B43E1" w14:textId="77777777" w:rsidR="002D42C2" w:rsidRPr="0001291E" w:rsidRDefault="009B3576" w:rsidP="00475FA2">
      <w:pPr>
        <w:pStyle w:val="ListParagraph"/>
        <w:numPr>
          <w:ilvl w:val="0"/>
          <w:numId w:val="7"/>
        </w:numPr>
        <w:tabs>
          <w:tab w:val="left" w:pos="2161"/>
        </w:tabs>
        <w:spacing w:before="120" w:line="276" w:lineRule="auto"/>
        <w:ind w:left="360"/>
        <w:rPr>
          <w:sz w:val="20"/>
          <w:szCs w:val="20"/>
        </w:rPr>
      </w:pPr>
      <w:r w:rsidRPr="0001291E">
        <w:rPr>
          <w:sz w:val="20"/>
          <w:szCs w:val="20"/>
        </w:rPr>
        <w:t>Assess the role of ESG awareness in shaping</w:t>
      </w:r>
      <w:r w:rsidRPr="0001291E">
        <w:rPr>
          <w:spacing w:val="80"/>
          <w:sz w:val="20"/>
          <w:szCs w:val="20"/>
        </w:rPr>
        <w:t xml:space="preserve">   </w:t>
      </w:r>
      <w:r w:rsidRPr="0001291E">
        <w:rPr>
          <w:sz w:val="20"/>
          <w:szCs w:val="20"/>
        </w:rPr>
        <w:t>investor</w:t>
      </w:r>
      <w:r w:rsidRPr="0001291E">
        <w:rPr>
          <w:spacing w:val="80"/>
          <w:sz w:val="20"/>
          <w:szCs w:val="20"/>
        </w:rPr>
        <w:t xml:space="preserve">   </w:t>
      </w:r>
      <w:r w:rsidRPr="0001291E">
        <w:rPr>
          <w:sz w:val="20"/>
          <w:szCs w:val="20"/>
        </w:rPr>
        <w:t>preferences,</w:t>
      </w:r>
    </w:p>
    <w:p w14:paraId="1547EBBA" w14:textId="2A3A72B0" w:rsidR="002D42C2" w:rsidRPr="0001291E" w:rsidRDefault="009B3576" w:rsidP="00475FA2">
      <w:pPr>
        <w:pStyle w:val="BodyText"/>
        <w:numPr>
          <w:ilvl w:val="0"/>
          <w:numId w:val="7"/>
        </w:numPr>
        <w:spacing w:before="120" w:line="276" w:lineRule="auto"/>
        <w:ind w:left="360"/>
        <w:jc w:val="both"/>
        <w:rPr>
          <w:sz w:val="20"/>
          <w:szCs w:val="20"/>
        </w:rPr>
      </w:pPr>
      <w:r w:rsidRPr="0001291E">
        <w:rPr>
          <w:sz w:val="20"/>
          <w:szCs w:val="20"/>
        </w:rPr>
        <w:t>including the weight placed on financial returns, risk management, and personal ethical values when making investment decisions.</w:t>
      </w:r>
    </w:p>
    <w:p w14:paraId="032B0203" w14:textId="77777777" w:rsidR="002D42C2" w:rsidRPr="0001291E" w:rsidRDefault="009B3576" w:rsidP="00475FA2">
      <w:pPr>
        <w:pStyle w:val="ListParagraph"/>
        <w:numPr>
          <w:ilvl w:val="0"/>
          <w:numId w:val="7"/>
        </w:numPr>
        <w:tabs>
          <w:tab w:val="left" w:pos="1396"/>
        </w:tabs>
        <w:spacing w:before="120" w:line="276" w:lineRule="auto"/>
        <w:ind w:left="360"/>
        <w:rPr>
          <w:sz w:val="20"/>
          <w:szCs w:val="20"/>
        </w:rPr>
      </w:pPr>
      <w:r w:rsidRPr="0001291E">
        <w:rPr>
          <w:sz w:val="20"/>
          <w:szCs w:val="20"/>
        </w:rPr>
        <w:t>Provide insights into how increased ESG awareness can lead to greater participation in sustainable financial products and influence long-term investment trends.</w:t>
      </w:r>
    </w:p>
    <w:p w14:paraId="23F8CC7D" w14:textId="77777777" w:rsidR="002D42C2" w:rsidRPr="0001291E" w:rsidRDefault="009B3576" w:rsidP="00475FA2">
      <w:pPr>
        <w:pStyle w:val="Heading2"/>
        <w:numPr>
          <w:ilvl w:val="0"/>
          <w:numId w:val="2"/>
        </w:numPr>
        <w:tabs>
          <w:tab w:val="left" w:pos="360"/>
        </w:tabs>
        <w:spacing w:before="120" w:line="276" w:lineRule="auto"/>
        <w:ind w:left="721"/>
        <w:jc w:val="both"/>
        <w:rPr>
          <w:sz w:val="20"/>
          <w:szCs w:val="20"/>
        </w:rPr>
      </w:pPr>
      <w:r w:rsidRPr="0001291E">
        <w:rPr>
          <w:spacing w:val="-2"/>
          <w:sz w:val="20"/>
          <w:szCs w:val="20"/>
        </w:rPr>
        <w:t>LITERATURE</w:t>
      </w:r>
      <w:r w:rsidRPr="0001291E">
        <w:rPr>
          <w:spacing w:val="3"/>
          <w:sz w:val="20"/>
          <w:szCs w:val="20"/>
        </w:rPr>
        <w:t xml:space="preserve"> </w:t>
      </w:r>
      <w:r w:rsidRPr="0001291E">
        <w:rPr>
          <w:spacing w:val="-2"/>
          <w:sz w:val="20"/>
          <w:szCs w:val="20"/>
        </w:rPr>
        <w:t>REVIEW</w:t>
      </w:r>
    </w:p>
    <w:p w14:paraId="1AC98F03" w14:textId="77777777" w:rsidR="002D42C2" w:rsidRPr="0001291E" w:rsidRDefault="009B3576" w:rsidP="00475FA2">
      <w:pPr>
        <w:pStyle w:val="BodyText"/>
        <w:spacing w:before="120" w:line="276" w:lineRule="auto"/>
        <w:jc w:val="both"/>
        <w:rPr>
          <w:sz w:val="20"/>
          <w:szCs w:val="20"/>
        </w:rPr>
      </w:pPr>
      <w:r w:rsidRPr="0001291E">
        <w:rPr>
          <w:sz w:val="20"/>
          <w:szCs w:val="20"/>
        </w:rPr>
        <w:t>Kaakandikar, D. R., has demonstrated a broad research interest spanning financial analysis, consumer behavior, and management studies, as evidenced by his extensive</w:t>
      </w:r>
      <w:r w:rsidRPr="0001291E">
        <w:rPr>
          <w:spacing w:val="-15"/>
          <w:sz w:val="20"/>
          <w:szCs w:val="20"/>
        </w:rPr>
        <w:t xml:space="preserve"> </w:t>
      </w:r>
      <w:r w:rsidRPr="0001291E">
        <w:rPr>
          <w:sz w:val="20"/>
          <w:szCs w:val="20"/>
        </w:rPr>
        <w:t>publications.</w:t>
      </w:r>
      <w:r w:rsidRPr="0001291E">
        <w:rPr>
          <w:spacing w:val="-15"/>
          <w:sz w:val="20"/>
          <w:szCs w:val="20"/>
        </w:rPr>
        <w:t xml:space="preserve"> </w:t>
      </w:r>
      <w:r w:rsidRPr="0001291E">
        <w:rPr>
          <w:sz w:val="20"/>
          <w:szCs w:val="20"/>
        </w:rPr>
        <w:t>His</w:t>
      </w:r>
      <w:r w:rsidRPr="0001291E">
        <w:rPr>
          <w:spacing w:val="-15"/>
          <w:sz w:val="20"/>
          <w:szCs w:val="20"/>
        </w:rPr>
        <w:t xml:space="preserve"> </w:t>
      </w:r>
      <w:r w:rsidRPr="0001291E">
        <w:rPr>
          <w:sz w:val="20"/>
          <w:szCs w:val="20"/>
        </w:rPr>
        <w:t>financial</w:t>
      </w:r>
      <w:r w:rsidRPr="0001291E">
        <w:rPr>
          <w:spacing w:val="-15"/>
          <w:sz w:val="20"/>
          <w:szCs w:val="20"/>
        </w:rPr>
        <w:t xml:space="preserve"> </w:t>
      </w:r>
      <w:r w:rsidRPr="0001291E">
        <w:rPr>
          <w:sz w:val="20"/>
          <w:szCs w:val="20"/>
        </w:rPr>
        <w:t>analyses cover a range of topics, from specific institutions like Janaseva Bank (Kaakandikar, 2020a) and Maruti Suzuki India Limited Company (Kaakandikar, 2020v), to broader financial management practices such as budgetary control (Kaakandikar, 2020c), working capital management (Kaakandikar, 2020q, 2020x), and credit risk management (Kaakandikar, 2020u). He also explores the impact of financial tools and policies, including ratio analysis</w:t>
      </w:r>
      <w:r w:rsidRPr="0001291E">
        <w:rPr>
          <w:spacing w:val="-1"/>
          <w:sz w:val="20"/>
          <w:szCs w:val="20"/>
        </w:rPr>
        <w:t xml:space="preserve"> </w:t>
      </w:r>
      <w:r w:rsidRPr="0001291E">
        <w:rPr>
          <w:sz w:val="20"/>
          <w:szCs w:val="20"/>
        </w:rPr>
        <w:t>(Kaakandikar, 2020j,</w:t>
      </w:r>
      <w:r w:rsidRPr="0001291E">
        <w:rPr>
          <w:spacing w:val="-3"/>
          <w:sz w:val="20"/>
          <w:szCs w:val="20"/>
        </w:rPr>
        <w:t xml:space="preserve"> </w:t>
      </w:r>
      <w:r w:rsidRPr="0001291E">
        <w:rPr>
          <w:sz w:val="20"/>
          <w:szCs w:val="20"/>
        </w:rPr>
        <w:t>2020ag),</w:t>
      </w:r>
      <w:r w:rsidRPr="0001291E">
        <w:rPr>
          <w:spacing w:val="-3"/>
          <w:sz w:val="20"/>
          <w:szCs w:val="20"/>
        </w:rPr>
        <w:t xml:space="preserve"> </w:t>
      </w:r>
      <w:r w:rsidRPr="0001291E">
        <w:rPr>
          <w:sz w:val="20"/>
          <w:szCs w:val="20"/>
        </w:rPr>
        <w:t>GST implementation (Kaakandikar, 2020r), and the role of insurance in personal finance (Kaakandikar, 2020m).</w:t>
      </w:r>
    </w:p>
    <w:p w14:paraId="361AA309" w14:textId="610510A6" w:rsidR="002D42C2" w:rsidRPr="0001291E" w:rsidRDefault="009B3576" w:rsidP="00475FA2">
      <w:pPr>
        <w:pStyle w:val="BodyText"/>
        <w:spacing w:before="120" w:line="276" w:lineRule="auto"/>
        <w:jc w:val="both"/>
        <w:rPr>
          <w:sz w:val="20"/>
          <w:szCs w:val="20"/>
        </w:rPr>
      </w:pPr>
      <w:r w:rsidRPr="0001291E">
        <w:rPr>
          <w:sz w:val="20"/>
          <w:szCs w:val="20"/>
        </w:rPr>
        <w:t xml:space="preserve">In the realm of consumer behavior and </w:t>
      </w:r>
      <w:r w:rsidRPr="0001291E">
        <w:rPr>
          <w:spacing w:val="-2"/>
          <w:sz w:val="20"/>
          <w:szCs w:val="20"/>
        </w:rPr>
        <w:t>market</w:t>
      </w:r>
      <w:r w:rsidRPr="0001291E">
        <w:rPr>
          <w:spacing w:val="-4"/>
          <w:sz w:val="20"/>
          <w:szCs w:val="20"/>
        </w:rPr>
        <w:t xml:space="preserve"> </w:t>
      </w:r>
      <w:r w:rsidRPr="0001291E">
        <w:rPr>
          <w:spacing w:val="-2"/>
          <w:sz w:val="20"/>
          <w:szCs w:val="20"/>
        </w:rPr>
        <w:t>trends,</w:t>
      </w:r>
      <w:r w:rsidRPr="0001291E">
        <w:rPr>
          <w:spacing w:val="-8"/>
          <w:sz w:val="20"/>
          <w:szCs w:val="20"/>
        </w:rPr>
        <w:t xml:space="preserve"> </w:t>
      </w:r>
      <w:r w:rsidRPr="0001291E">
        <w:rPr>
          <w:spacing w:val="-2"/>
          <w:sz w:val="20"/>
          <w:szCs w:val="20"/>
        </w:rPr>
        <w:t>Kaakandikar's</w:t>
      </w:r>
      <w:r w:rsidRPr="0001291E">
        <w:rPr>
          <w:spacing w:val="-6"/>
          <w:sz w:val="20"/>
          <w:szCs w:val="20"/>
        </w:rPr>
        <w:t xml:space="preserve"> </w:t>
      </w:r>
      <w:r w:rsidRPr="0001291E">
        <w:rPr>
          <w:spacing w:val="-2"/>
          <w:sz w:val="20"/>
          <w:szCs w:val="20"/>
        </w:rPr>
        <w:t>work</w:t>
      </w:r>
      <w:r w:rsidRPr="0001291E">
        <w:rPr>
          <w:spacing w:val="-7"/>
          <w:sz w:val="20"/>
          <w:szCs w:val="20"/>
        </w:rPr>
        <w:t xml:space="preserve"> </w:t>
      </w:r>
      <w:r w:rsidRPr="0001291E">
        <w:rPr>
          <w:spacing w:val="-2"/>
          <w:sz w:val="20"/>
          <w:szCs w:val="20"/>
        </w:rPr>
        <w:t>extends</w:t>
      </w:r>
      <w:r w:rsidRPr="0001291E">
        <w:rPr>
          <w:spacing w:val="-6"/>
          <w:sz w:val="20"/>
          <w:szCs w:val="20"/>
        </w:rPr>
        <w:t xml:space="preserve"> </w:t>
      </w:r>
      <w:r w:rsidRPr="0001291E">
        <w:rPr>
          <w:spacing w:val="-2"/>
          <w:sz w:val="20"/>
          <w:szCs w:val="20"/>
        </w:rPr>
        <w:t xml:space="preserve">to </w:t>
      </w:r>
      <w:r w:rsidRPr="0001291E">
        <w:rPr>
          <w:sz w:val="20"/>
          <w:szCs w:val="20"/>
        </w:rPr>
        <w:t>diverse sectors, including the ice cream industry (Kaakandikar, 2020e), online eyewear retail (Kaakandikar, 2020f), snack food (Kaakandikar, 2020i), and the automotive sector (Analyzing consumer preferences and market trends in the two- wheeler industry, 2020). His studies delve into</w:t>
      </w:r>
      <w:r w:rsidRPr="0001291E">
        <w:rPr>
          <w:spacing w:val="18"/>
          <w:sz w:val="20"/>
          <w:szCs w:val="20"/>
        </w:rPr>
        <w:t xml:space="preserve"> </w:t>
      </w:r>
      <w:r w:rsidRPr="0001291E">
        <w:rPr>
          <w:sz w:val="20"/>
          <w:szCs w:val="20"/>
        </w:rPr>
        <w:t>consumer</w:t>
      </w:r>
      <w:r w:rsidRPr="0001291E">
        <w:rPr>
          <w:spacing w:val="21"/>
          <w:sz w:val="20"/>
          <w:szCs w:val="20"/>
        </w:rPr>
        <w:t xml:space="preserve"> </w:t>
      </w:r>
      <w:r w:rsidRPr="0001291E">
        <w:rPr>
          <w:sz w:val="20"/>
          <w:szCs w:val="20"/>
        </w:rPr>
        <w:t>preferences,</w:t>
      </w:r>
      <w:r w:rsidRPr="0001291E">
        <w:rPr>
          <w:spacing w:val="21"/>
          <w:sz w:val="20"/>
          <w:szCs w:val="20"/>
        </w:rPr>
        <w:t xml:space="preserve"> </w:t>
      </w:r>
      <w:r w:rsidRPr="0001291E">
        <w:rPr>
          <w:sz w:val="20"/>
          <w:szCs w:val="20"/>
        </w:rPr>
        <w:t>satisfaction,</w:t>
      </w:r>
      <w:r w:rsidRPr="0001291E">
        <w:rPr>
          <w:spacing w:val="26"/>
          <w:sz w:val="20"/>
          <w:szCs w:val="20"/>
        </w:rPr>
        <w:t xml:space="preserve"> </w:t>
      </w:r>
      <w:r w:rsidRPr="0001291E">
        <w:rPr>
          <w:spacing w:val="-5"/>
          <w:sz w:val="20"/>
          <w:szCs w:val="20"/>
        </w:rPr>
        <w:t>and</w:t>
      </w:r>
      <w:r w:rsidR="00AD3460">
        <w:rPr>
          <w:sz w:val="20"/>
          <w:szCs w:val="20"/>
        </w:rPr>
        <w:t xml:space="preserve"> </w:t>
      </w:r>
      <w:r w:rsidRPr="0001291E">
        <w:rPr>
          <w:spacing w:val="-2"/>
          <w:sz w:val="20"/>
          <w:szCs w:val="20"/>
        </w:rPr>
        <w:t>loyalty,</w:t>
      </w:r>
      <w:r w:rsidRPr="0001291E">
        <w:rPr>
          <w:spacing w:val="-8"/>
          <w:sz w:val="20"/>
          <w:szCs w:val="20"/>
        </w:rPr>
        <w:t xml:space="preserve"> </w:t>
      </w:r>
      <w:r w:rsidRPr="0001291E">
        <w:rPr>
          <w:spacing w:val="-2"/>
          <w:sz w:val="20"/>
          <w:szCs w:val="20"/>
        </w:rPr>
        <w:t>as</w:t>
      </w:r>
      <w:r w:rsidRPr="0001291E">
        <w:rPr>
          <w:spacing w:val="-11"/>
          <w:sz w:val="20"/>
          <w:szCs w:val="20"/>
        </w:rPr>
        <w:t xml:space="preserve"> </w:t>
      </w:r>
      <w:r w:rsidRPr="0001291E">
        <w:rPr>
          <w:spacing w:val="-2"/>
          <w:sz w:val="20"/>
          <w:szCs w:val="20"/>
        </w:rPr>
        <w:t>seen</w:t>
      </w:r>
      <w:r w:rsidRPr="0001291E">
        <w:rPr>
          <w:spacing w:val="-8"/>
          <w:sz w:val="20"/>
          <w:szCs w:val="20"/>
        </w:rPr>
        <w:t xml:space="preserve"> </w:t>
      </w:r>
      <w:r w:rsidRPr="0001291E">
        <w:rPr>
          <w:spacing w:val="-2"/>
          <w:sz w:val="20"/>
          <w:szCs w:val="20"/>
        </w:rPr>
        <w:t>in</w:t>
      </w:r>
      <w:r w:rsidRPr="0001291E">
        <w:rPr>
          <w:spacing w:val="-13"/>
          <w:sz w:val="20"/>
          <w:szCs w:val="20"/>
        </w:rPr>
        <w:t xml:space="preserve"> </w:t>
      </w:r>
      <w:r w:rsidRPr="0001291E">
        <w:rPr>
          <w:spacing w:val="-2"/>
          <w:sz w:val="20"/>
          <w:szCs w:val="20"/>
        </w:rPr>
        <w:t>his</w:t>
      </w:r>
      <w:r w:rsidRPr="0001291E">
        <w:rPr>
          <w:spacing w:val="-11"/>
          <w:sz w:val="20"/>
          <w:szCs w:val="20"/>
        </w:rPr>
        <w:t xml:space="preserve"> </w:t>
      </w:r>
      <w:r w:rsidRPr="0001291E">
        <w:rPr>
          <w:spacing w:val="-2"/>
          <w:sz w:val="20"/>
          <w:szCs w:val="20"/>
        </w:rPr>
        <w:t>analysis</w:t>
      </w:r>
      <w:r w:rsidRPr="0001291E">
        <w:rPr>
          <w:spacing w:val="-11"/>
          <w:sz w:val="20"/>
          <w:szCs w:val="20"/>
        </w:rPr>
        <w:t xml:space="preserve"> </w:t>
      </w:r>
      <w:r w:rsidRPr="0001291E">
        <w:rPr>
          <w:spacing w:val="-2"/>
          <w:sz w:val="20"/>
          <w:szCs w:val="20"/>
        </w:rPr>
        <w:t>of</w:t>
      </w:r>
      <w:r w:rsidRPr="0001291E">
        <w:rPr>
          <w:spacing w:val="-12"/>
          <w:sz w:val="20"/>
          <w:szCs w:val="20"/>
        </w:rPr>
        <w:t xml:space="preserve"> </w:t>
      </w:r>
      <w:r w:rsidRPr="0001291E">
        <w:rPr>
          <w:spacing w:val="-2"/>
          <w:sz w:val="20"/>
          <w:szCs w:val="20"/>
        </w:rPr>
        <w:t>Meridian</w:t>
      </w:r>
      <w:r w:rsidRPr="0001291E">
        <w:rPr>
          <w:spacing w:val="-13"/>
          <w:sz w:val="20"/>
          <w:szCs w:val="20"/>
        </w:rPr>
        <w:t xml:space="preserve"> </w:t>
      </w:r>
      <w:r w:rsidRPr="0001291E">
        <w:rPr>
          <w:spacing w:val="-2"/>
          <w:sz w:val="20"/>
          <w:szCs w:val="20"/>
        </w:rPr>
        <w:t xml:space="preserve">Ice </w:t>
      </w:r>
      <w:r w:rsidRPr="0001291E">
        <w:rPr>
          <w:sz w:val="20"/>
          <w:szCs w:val="20"/>
        </w:rPr>
        <w:t xml:space="preserve">Cream, </w:t>
      </w:r>
      <w:r w:rsidRPr="0001291E">
        <w:rPr>
          <w:sz w:val="20"/>
          <w:szCs w:val="20"/>
        </w:rPr>
        <w:t>Lenskart, and Wow Momo (Kaakandikar, 2020e, 2020f; Analyzing customer satisfaction and loyalty in the context</w:t>
      </w:r>
      <w:r w:rsidRPr="0001291E">
        <w:rPr>
          <w:spacing w:val="-15"/>
          <w:sz w:val="20"/>
          <w:szCs w:val="20"/>
        </w:rPr>
        <w:t xml:space="preserve"> </w:t>
      </w:r>
      <w:r w:rsidRPr="0001291E">
        <w:rPr>
          <w:sz w:val="20"/>
          <w:szCs w:val="20"/>
        </w:rPr>
        <w:t>of</w:t>
      </w:r>
      <w:r w:rsidRPr="0001291E">
        <w:rPr>
          <w:spacing w:val="-15"/>
          <w:sz w:val="20"/>
          <w:szCs w:val="20"/>
        </w:rPr>
        <w:t xml:space="preserve"> </w:t>
      </w:r>
      <w:r w:rsidRPr="0001291E">
        <w:rPr>
          <w:sz w:val="20"/>
          <w:szCs w:val="20"/>
        </w:rPr>
        <w:t>Wow</w:t>
      </w:r>
      <w:r w:rsidRPr="0001291E">
        <w:rPr>
          <w:spacing w:val="-15"/>
          <w:sz w:val="20"/>
          <w:szCs w:val="20"/>
        </w:rPr>
        <w:t xml:space="preserve"> </w:t>
      </w:r>
      <w:r w:rsidRPr="0001291E">
        <w:rPr>
          <w:sz w:val="20"/>
          <w:szCs w:val="20"/>
        </w:rPr>
        <w:t>Momo,</w:t>
      </w:r>
      <w:r w:rsidRPr="0001291E">
        <w:rPr>
          <w:spacing w:val="-15"/>
          <w:sz w:val="20"/>
          <w:szCs w:val="20"/>
        </w:rPr>
        <w:t xml:space="preserve"> </w:t>
      </w:r>
      <w:r w:rsidRPr="0001291E">
        <w:rPr>
          <w:sz w:val="20"/>
          <w:szCs w:val="20"/>
        </w:rPr>
        <w:t>2020).</w:t>
      </w:r>
      <w:r w:rsidRPr="0001291E">
        <w:rPr>
          <w:spacing w:val="-15"/>
          <w:sz w:val="20"/>
          <w:szCs w:val="20"/>
        </w:rPr>
        <w:t xml:space="preserve"> </w:t>
      </w:r>
      <w:r w:rsidRPr="0001291E">
        <w:rPr>
          <w:sz w:val="20"/>
          <w:szCs w:val="20"/>
        </w:rPr>
        <w:t>Moreover,</w:t>
      </w:r>
      <w:r w:rsidRPr="0001291E">
        <w:rPr>
          <w:spacing w:val="-15"/>
          <w:sz w:val="20"/>
          <w:szCs w:val="20"/>
        </w:rPr>
        <w:t xml:space="preserve"> </w:t>
      </w:r>
      <w:r w:rsidRPr="0001291E">
        <w:rPr>
          <w:sz w:val="20"/>
          <w:szCs w:val="20"/>
        </w:rPr>
        <w:t>his research also examines the influence of digital platforms and marketing strategies, including SEO for SMEs (Kaakandikar, 2020ae) and digital marketing for product branding (Kaakandikar, 2020n).</w:t>
      </w:r>
    </w:p>
    <w:p w14:paraId="36ED60F8" w14:textId="77777777" w:rsidR="002D42C2" w:rsidRPr="0001291E" w:rsidRDefault="009B3576" w:rsidP="00475FA2">
      <w:pPr>
        <w:pStyle w:val="BodyText"/>
        <w:spacing w:before="120" w:line="276" w:lineRule="auto"/>
        <w:jc w:val="both"/>
        <w:rPr>
          <w:sz w:val="20"/>
          <w:szCs w:val="20"/>
        </w:rPr>
      </w:pPr>
      <w:r w:rsidRPr="0001291E">
        <w:rPr>
          <w:sz w:val="20"/>
          <w:szCs w:val="20"/>
        </w:rPr>
        <w:t>Kaakandikar has also contributed to studies on broader management and economic themes, including employee performance appraisal (Kaakandikar, 2020b, 2020ac), job satisfaction (Kaakandikar, 2020w), and the importance of training staff (Kaakandikar, 2020aa). His work further includes explorations</w:t>
      </w:r>
      <w:r w:rsidRPr="0001291E">
        <w:rPr>
          <w:spacing w:val="-15"/>
          <w:sz w:val="20"/>
          <w:szCs w:val="20"/>
        </w:rPr>
        <w:t xml:space="preserve"> </w:t>
      </w:r>
      <w:r w:rsidRPr="0001291E">
        <w:rPr>
          <w:sz w:val="20"/>
          <w:szCs w:val="20"/>
        </w:rPr>
        <w:t>of</w:t>
      </w:r>
      <w:r w:rsidRPr="0001291E">
        <w:rPr>
          <w:spacing w:val="-15"/>
          <w:sz w:val="20"/>
          <w:szCs w:val="20"/>
        </w:rPr>
        <w:t xml:space="preserve"> </w:t>
      </w:r>
      <w:r w:rsidRPr="0001291E">
        <w:rPr>
          <w:sz w:val="20"/>
          <w:szCs w:val="20"/>
        </w:rPr>
        <w:t>artificial</w:t>
      </w:r>
      <w:r w:rsidRPr="0001291E">
        <w:rPr>
          <w:spacing w:val="-15"/>
          <w:sz w:val="20"/>
          <w:szCs w:val="20"/>
        </w:rPr>
        <w:t xml:space="preserve"> </w:t>
      </w:r>
      <w:r w:rsidRPr="0001291E">
        <w:rPr>
          <w:sz w:val="20"/>
          <w:szCs w:val="20"/>
        </w:rPr>
        <w:t>intelligence's</w:t>
      </w:r>
      <w:r w:rsidRPr="0001291E">
        <w:rPr>
          <w:spacing w:val="-15"/>
          <w:sz w:val="20"/>
          <w:szCs w:val="20"/>
        </w:rPr>
        <w:t xml:space="preserve"> </w:t>
      </w:r>
      <w:r w:rsidRPr="0001291E">
        <w:rPr>
          <w:sz w:val="20"/>
          <w:szCs w:val="20"/>
        </w:rPr>
        <w:t>impact on society (Kaakandikar, 2020k), the challenges and opportunities of India's participation in the global economy (Kaakandikar, 2020af), and comparative analyses</w:t>
      </w:r>
      <w:r w:rsidRPr="0001291E">
        <w:rPr>
          <w:spacing w:val="-7"/>
          <w:sz w:val="20"/>
          <w:szCs w:val="20"/>
        </w:rPr>
        <w:t xml:space="preserve"> </w:t>
      </w:r>
      <w:r w:rsidRPr="0001291E">
        <w:rPr>
          <w:sz w:val="20"/>
          <w:szCs w:val="20"/>
        </w:rPr>
        <w:t>of</w:t>
      </w:r>
      <w:r w:rsidRPr="0001291E">
        <w:rPr>
          <w:spacing w:val="-9"/>
          <w:sz w:val="20"/>
          <w:szCs w:val="20"/>
        </w:rPr>
        <w:t xml:space="preserve"> </w:t>
      </w:r>
      <w:r w:rsidRPr="0001291E">
        <w:rPr>
          <w:sz w:val="20"/>
          <w:szCs w:val="20"/>
        </w:rPr>
        <w:t>e-banking</w:t>
      </w:r>
      <w:r w:rsidRPr="0001291E">
        <w:rPr>
          <w:spacing w:val="-9"/>
          <w:sz w:val="20"/>
          <w:szCs w:val="20"/>
        </w:rPr>
        <w:t xml:space="preserve"> </w:t>
      </w:r>
      <w:r w:rsidRPr="0001291E">
        <w:rPr>
          <w:sz w:val="20"/>
          <w:szCs w:val="20"/>
        </w:rPr>
        <w:t>(Kaakandikar,</w:t>
      </w:r>
      <w:r w:rsidRPr="0001291E">
        <w:rPr>
          <w:spacing w:val="-9"/>
          <w:sz w:val="20"/>
          <w:szCs w:val="20"/>
        </w:rPr>
        <w:t xml:space="preserve"> </w:t>
      </w:r>
      <w:r w:rsidRPr="0001291E">
        <w:rPr>
          <w:sz w:val="20"/>
          <w:szCs w:val="20"/>
        </w:rPr>
        <w:t xml:space="preserve">2020ai) and non-performing assets (Kaakandikar, </w:t>
      </w:r>
      <w:r w:rsidRPr="0001291E">
        <w:rPr>
          <w:spacing w:val="-2"/>
          <w:sz w:val="20"/>
          <w:szCs w:val="20"/>
        </w:rPr>
        <w:t>2024).</w:t>
      </w:r>
    </w:p>
    <w:p w14:paraId="166BF56A" w14:textId="0288C20A" w:rsidR="002D42C2" w:rsidRPr="00AD3460" w:rsidRDefault="009B3576" w:rsidP="00475FA2">
      <w:pPr>
        <w:pStyle w:val="BodyText"/>
        <w:spacing w:before="120" w:line="276" w:lineRule="auto"/>
        <w:jc w:val="both"/>
        <w:rPr>
          <w:spacing w:val="-2"/>
          <w:sz w:val="20"/>
          <w:szCs w:val="20"/>
        </w:rPr>
      </w:pPr>
      <w:r w:rsidRPr="0001291E">
        <w:rPr>
          <w:sz w:val="20"/>
          <w:szCs w:val="20"/>
        </w:rPr>
        <w:t>Collaborative</w:t>
      </w:r>
      <w:r w:rsidRPr="0001291E">
        <w:rPr>
          <w:spacing w:val="-15"/>
          <w:sz w:val="20"/>
          <w:szCs w:val="20"/>
        </w:rPr>
        <w:t xml:space="preserve"> </w:t>
      </w:r>
      <w:r w:rsidRPr="0001291E">
        <w:rPr>
          <w:sz w:val="20"/>
          <w:szCs w:val="20"/>
        </w:rPr>
        <w:t>efforts</w:t>
      </w:r>
      <w:r w:rsidRPr="0001291E">
        <w:rPr>
          <w:spacing w:val="-13"/>
          <w:sz w:val="20"/>
          <w:szCs w:val="20"/>
        </w:rPr>
        <w:t xml:space="preserve"> </w:t>
      </w:r>
      <w:r w:rsidRPr="0001291E">
        <w:rPr>
          <w:sz w:val="20"/>
          <w:szCs w:val="20"/>
        </w:rPr>
        <w:t>have</w:t>
      </w:r>
      <w:r w:rsidRPr="0001291E">
        <w:rPr>
          <w:spacing w:val="-15"/>
          <w:sz w:val="20"/>
          <w:szCs w:val="20"/>
        </w:rPr>
        <w:t xml:space="preserve"> </w:t>
      </w:r>
      <w:r w:rsidRPr="0001291E">
        <w:rPr>
          <w:sz w:val="20"/>
          <w:szCs w:val="20"/>
        </w:rPr>
        <w:t>seen</w:t>
      </w:r>
      <w:r w:rsidRPr="0001291E">
        <w:rPr>
          <w:spacing w:val="-13"/>
          <w:sz w:val="20"/>
          <w:szCs w:val="20"/>
        </w:rPr>
        <w:t xml:space="preserve"> </w:t>
      </w:r>
      <w:r w:rsidRPr="0001291E">
        <w:rPr>
          <w:sz w:val="20"/>
          <w:szCs w:val="20"/>
        </w:rPr>
        <w:t>Kaakandikar, R., involved in studies analyzing consumer behavior during the COVID-19 pandemic, focusing on online and offline shopping trends (Espinoza et al., 2021a; Sinha et al., 2020), the pandemic's effects on the tourism sector (Espinoza et al., 2021b), and the impact of food delivery apps (Ganatra et al., 2021). Additionally, G, L. S. (2017) conducted a doctoral dissertation on the performance analysis of public and private mutual funds, contributing to the broader understanding of financial performance within the investment sector.Kaakandikar, R., and his colleagues have conducted research spanning various domains, including consumer behavior, technological</w:t>
      </w:r>
      <w:r w:rsidRPr="0001291E">
        <w:rPr>
          <w:spacing w:val="39"/>
          <w:sz w:val="20"/>
          <w:szCs w:val="20"/>
        </w:rPr>
        <w:t xml:space="preserve">  </w:t>
      </w:r>
      <w:r w:rsidRPr="0001291E">
        <w:rPr>
          <w:sz w:val="20"/>
          <w:szCs w:val="20"/>
        </w:rPr>
        <w:t>applications,</w:t>
      </w:r>
      <w:r w:rsidRPr="0001291E">
        <w:rPr>
          <w:spacing w:val="42"/>
          <w:sz w:val="20"/>
          <w:szCs w:val="20"/>
        </w:rPr>
        <w:t xml:space="preserve">  </w:t>
      </w:r>
      <w:r w:rsidRPr="0001291E">
        <w:rPr>
          <w:sz w:val="20"/>
          <w:szCs w:val="20"/>
        </w:rPr>
        <w:t>and</w:t>
      </w:r>
      <w:r w:rsidRPr="0001291E">
        <w:rPr>
          <w:spacing w:val="40"/>
          <w:sz w:val="20"/>
          <w:szCs w:val="20"/>
        </w:rPr>
        <w:t xml:space="preserve">  </w:t>
      </w:r>
      <w:r w:rsidRPr="0001291E">
        <w:rPr>
          <w:spacing w:val="-2"/>
          <w:sz w:val="20"/>
          <w:szCs w:val="20"/>
        </w:rPr>
        <w:t>financial</w:t>
      </w:r>
      <w:r w:rsidR="00AD3460">
        <w:rPr>
          <w:spacing w:val="-2"/>
          <w:sz w:val="20"/>
          <w:szCs w:val="20"/>
        </w:rPr>
        <w:t xml:space="preserve"> </w:t>
      </w:r>
      <w:r w:rsidRPr="0001291E">
        <w:rPr>
          <w:sz w:val="20"/>
          <w:szCs w:val="20"/>
        </w:rPr>
        <w:t>markets. Studies on customer satisfaction, focusing</w:t>
      </w:r>
      <w:r w:rsidRPr="0001291E">
        <w:rPr>
          <w:spacing w:val="-15"/>
          <w:sz w:val="20"/>
          <w:szCs w:val="20"/>
        </w:rPr>
        <w:t xml:space="preserve"> </w:t>
      </w:r>
      <w:r w:rsidRPr="0001291E">
        <w:rPr>
          <w:sz w:val="20"/>
          <w:szCs w:val="20"/>
        </w:rPr>
        <w:t>on</w:t>
      </w:r>
      <w:r w:rsidRPr="0001291E">
        <w:rPr>
          <w:spacing w:val="-14"/>
          <w:sz w:val="20"/>
          <w:szCs w:val="20"/>
        </w:rPr>
        <w:t xml:space="preserve"> </w:t>
      </w:r>
      <w:r w:rsidRPr="0001291E">
        <w:rPr>
          <w:sz w:val="20"/>
          <w:szCs w:val="20"/>
        </w:rPr>
        <w:t>Café</w:t>
      </w:r>
      <w:r w:rsidRPr="0001291E">
        <w:rPr>
          <w:spacing w:val="-12"/>
          <w:sz w:val="20"/>
          <w:szCs w:val="20"/>
        </w:rPr>
        <w:t xml:space="preserve"> </w:t>
      </w:r>
      <w:r w:rsidRPr="0001291E">
        <w:rPr>
          <w:sz w:val="20"/>
          <w:szCs w:val="20"/>
        </w:rPr>
        <w:t>Coffee</w:t>
      </w:r>
      <w:r w:rsidRPr="0001291E">
        <w:rPr>
          <w:spacing w:val="-7"/>
          <w:sz w:val="20"/>
          <w:szCs w:val="20"/>
        </w:rPr>
        <w:t xml:space="preserve"> </w:t>
      </w:r>
      <w:r w:rsidRPr="0001291E">
        <w:rPr>
          <w:sz w:val="20"/>
          <w:szCs w:val="20"/>
        </w:rPr>
        <w:t>Day</w:t>
      </w:r>
      <w:r w:rsidRPr="0001291E">
        <w:rPr>
          <w:spacing w:val="-11"/>
          <w:sz w:val="20"/>
          <w:szCs w:val="20"/>
        </w:rPr>
        <w:t xml:space="preserve"> </w:t>
      </w:r>
      <w:r w:rsidRPr="0001291E">
        <w:rPr>
          <w:sz w:val="20"/>
          <w:szCs w:val="20"/>
        </w:rPr>
        <w:t>(A</w:t>
      </w:r>
      <w:r w:rsidRPr="0001291E">
        <w:rPr>
          <w:spacing w:val="-15"/>
          <w:sz w:val="20"/>
          <w:szCs w:val="20"/>
        </w:rPr>
        <w:t xml:space="preserve"> </w:t>
      </w:r>
      <w:r w:rsidRPr="0001291E">
        <w:rPr>
          <w:sz w:val="20"/>
          <w:szCs w:val="20"/>
        </w:rPr>
        <w:t>study</w:t>
      </w:r>
      <w:r w:rsidRPr="0001291E">
        <w:rPr>
          <w:spacing w:val="-6"/>
          <w:sz w:val="20"/>
          <w:szCs w:val="20"/>
        </w:rPr>
        <w:t xml:space="preserve"> </w:t>
      </w:r>
      <w:r w:rsidRPr="0001291E">
        <w:rPr>
          <w:sz w:val="20"/>
          <w:szCs w:val="20"/>
        </w:rPr>
        <w:t>on</w:t>
      </w:r>
      <w:r w:rsidRPr="0001291E">
        <w:rPr>
          <w:spacing w:val="-5"/>
          <w:sz w:val="20"/>
          <w:szCs w:val="20"/>
        </w:rPr>
        <w:t xml:space="preserve"> </w:t>
      </w:r>
      <w:r w:rsidRPr="0001291E">
        <w:rPr>
          <w:sz w:val="20"/>
          <w:szCs w:val="20"/>
        </w:rPr>
        <w:t>the customer level of satisfaction towards Café Coffee</w:t>
      </w:r>
      <w:r w:rsidRPr="0001291E">
        <w:rPr>
          <w:spacing w:val="-15"/>
          <w:sz w:val="20"/>
          <w:szCs w:val="20"/>
        </w:rPr>
        <w:t xml:space="preserve"> </w:t>
      </w:r>
      <w:r w:rsidRPr="0001291E">
        <w:rPr>
          <w:sz w:val="20"/>
          <w:szCs w:val="20"/>
        </w:rPr>
        <w:t>Day</w:t>
      </w:r>
      <w:r w:rsidRPr="0001291E">
        <w:rPr>
          <w:spacing w:val="-14"/>
          <w:sz w:val="20"/>
          <w:szCs w:val="20"/>
        </w:rPr>
        <w:t xml:space="preserve"> </w:t>
      </w:r>
      <w:r w:rsidRPr="0001291E">
        <w:rPr>
          <w:sz w:val="20"/>
          <w:szCs w:val="20"/>
        </w:rPr>
        <w:t>product</w:t>
      </w:r>
      <w:r w:rsidRPr="0001291E">
        <w:rPr>
          <w:spacing w:val="-11"/>
          <w:sz w:val="20"/>
          <w:szCs w:val="20"/>
        </w:rPr>
        <w:t xml:space="preserve"> </w:t>
      </w:r>
      <w:r w:rsidRPr="0001291E">
        <w:rPr>
          <w:sz w:val="20"/>
          <w:szCs w:val="20"/>
        </w:rPr>
        <w:t>and</w:t>
      </w:r>
      <w:r w:rsidRPr="0001291E">
        <w:rPr>
          <w:spacing w:val="-14"/>
          <w:sz w:val="20"/>
          <w:szCs w:val="20"/>
        </w:rPr>
        <w:t xml:space="preserve"> </w:t>
      </w:r>
      <w:r w:rsidRPr="0001291E">
        <w:rPr>
          <w:sz w:val="20"/>
          <w:szCs w:val="20"/>
        </w:rPr>
        <w:t>service</w:t>
      </w:r>
      <w:r w:rsidRPr="0001291E">
        <w:rPr>
          <w:spacing w:val="-15"/>
          <w:sz w:val="20"/>
          <w:szCs w:val="20"/>
        </w:rPr>
        <w:t xml:space="preserve"> </w:t>
      </w:r>
      <w:r w:rsidRPr="0001291E">
        <w:rPr>
          <w:sz w:val="20"/>
          <w:szCs w:val="20"/>
        </w:rPr>
        <w:t>in</w:t>
      </w:r>
      <w:r w:rsidRPr="0001291E">
        <w:rPr>
          <w:spacing w:val="-14"/>
          <w:sz w:val="20"/>
          <w:szCs w:val="20"/>
        </w:rPr>
        <w:t xml:space="preserve"> </w:t>
      </w:r>
      <w:r w:rsidRPr="0001291E">
        <w:rPr>
          <w:sz w:val="20"/>
          <w:szCs w:val="20"/>
        </w:rPr>
        <w:t>Pune</w:t>
      </w:r>
      <w:r w:rsidRPr="0001291E">
        <w:rPr>
          <w:spacing w:val="-15"/>
          <w:sz w:val="20"/>
          <w:szCs w:val="20"/>
        </w:rPr>
        <w:t xml:space="preserve"> </w:t>
      </w:r>
      <w:r w:rsidRPr="0001291E">
        <w:rPr>
          <w:sz w:val="20"/>
          <w:szCs w:val="20"/>
        </w:rPr>
        <w:t>City, 2023)</w:t>
      </w:r>
      <w:r w:rsidRPr="0001291E">
        <w:rPr>
          <w:spacing w:val="-12"/>
          <w:sz w:val="20"/>
          <w:szCs w:val="20"/>
        </w:rPr>
        <w:t xml:space="preserve"> </w:t>
      </w:r>
      <w:r w:rsidRPr="0001291E">
        <w:rPr>
          <w:sz w:val="20"/>
          <w:szCs w:val="20"/>
        </w:rPr>
        <w:t>and</w:t>
      </w:r>
      <w:r w:rsidRPr="0001291E">
        <w:rPr>
          <w:spacing w:val="-13"/>
          <w:sz w:val="20"/>
          <w:szCs w:val="20"/>
        </w:rPr>
        <w:t xml:space="preserve"> </w:t>
      </w:r>
      <w:r w:rsidRPr="0001291E">
        <w:rPr>
          <w:sz w:val="20"/>
          <w:szCs w:val="20"/>
        </w:rPr>
        <w:t>Biba</w:t>
      </w:r>
      <w:r w:rsidRPr="0001291E">
        <w:rPr>
          <w:spacing w:val="-14"/>
          <w:sz w:val="20"/>
          <w:szCs w:val="20"/>
        </w:rPr>
        <w:t xml:space="preserve"> </w:t>
      </w:r>
      <w:r w:rsidRPr="0001291E">
        <w:rPr>
          <w:sz w:val="20"/>
          <w:szCs w:val="20"/>
        </w:rPr>
        <w:t>(Pérez-Restrepo</w:t>
      </w:r>
      <w:r w:rsidRPr="0001291E">
        <w:rPr>
          <w:spacing w:val="-13"/>
          <w:sz w:val="20"/>
          <w:szCs w:val="20"/>
        </w:rPr>
        <w:t xml:space="preserve"> </w:t>
      </w:r>
      <w:r w:rsidRPr="0001291E">
        <w:rPr>
          <w:sz w:val="20"/>
          <w:szCs w:val="20"/>
        </w:rPr>
        <w:t>et</w:t>
      </w:r>
      <w:r w:rsidRPr="0001291E">
        <w:rPr>
          <w:spacing w:val="-14"/>
          <w:sz w:val="20"/>
          <w:szCs w:val="20"/>
        </w:rPr>
        <w:t xml:space="preserve"> </w:t>
      </w:r>
      <w:r w:rsidRPr="0001291E">
        <w:rPr>
          <w:sz w:val="20"/>
          <w:szCs w:val="20"/>
        </w:rPr>
        <w:t>al.,</w:t>
      </w:r>
      <w:r w:rsidRPr="0001291E">
        <w:rPr>
          <w:spacing w:val="-13"/>
          <w:sz w:val="20"/>
          <w:szCs w:val="20"/>
        </w:rPr>
        <w:t xml:space="preserve"> </w:t>
      </w:r>
      <w:r w:rsidRPr="0001291E">
        <w:rPr>
          <w:sz w:val="20"/>
          <w:szCs w:val="20"/>
        </w:rPr>
        <w:t>2021), emphasize the significance of comprehending consumer preferences and experiences</w:t>
      </w:r>
      <w:r w:rsidRPr="0001291E">
        <w:rPr>
          <w:spacing w:val="-3"/>
          <w:sz w:val="20"/>
          <w:szCs w:val="20"/>
        </w:rPr>
        <w:t xml:space="preserve"> </w:t>
      </w:r>
      <w:r w:rsidRPr="0001291E">
        <w:rPr>
          <w:sz w:val="20"/>
          <w:szCs w:val="20"/>
        </w:rPr>
        <w:t>within</w:t>
      </w:r>
      <w:r w:rsidRPr="0001291E">
        <w:rPr>
          <w:spacing w:val="-4"/>
          <w:sz w:val="20"/>
          <w:szCs w:val="20"/>
        </w:rPr>
        <w:t xml:space="preserve"> </w:t>
      </w:r>
      <w:r w:rsidRPr="0001291E">
        <w:rPr>
          <w:sz w:val="20"/>
          <w:szCs w:val="20"/>
        </w:rPr>
        <w:t>retail</w:t>
      </w:r>
      <w:r w:rsidRPr="0001291E">
        <w:rPr>
          <w:spacing w:val="-1"/>
          <w:sz w:val="20"/>
          <w:szCs w:val="20"/>
        </w:rPr>
        <w:t xml:space="preserve"> </w:t>
      </w:r>
      <w:r w:rsidRPr="0001291E">
        <w:rPr>
          <w:sz w:val="20"/>
          <w:szCs w:val="20"/>
        </w:rPr>
        <w:t>and</w:t>
      </w:r>
      <w:r w:rsidRPr="0001291E">
        <w:rPr>
          <w:spacing w:val="-4"/>
          <w:sz w:val="20"/>
          <w:szCs w:val="20"/>
        </w:rPr>
        <w:t xml:space="preserve"> </w:t>
      </w:r>
      <w:r w:rsidRPr="0001291E">
        <w:rPr>
          <w:sz w:val="20"/>
          <w:szCs w:val="20"/>
        </w:rPr>
        <w:t>service</w:t>
      </w:r>
      <w:r w:rsidRPr="0001291E">
        <w:rPr>
          <w:spacing w:val="-5"/>
          <w:sz w:val="20"/>
          <w:szCs w:val="20"/>
        </w:rPr>
        <w:t xml:space="preserve"> </w:t>
      </w:r>
      <w:r w:rsidRPr="0001291E">
        <w:rPr>
          <w:sz w:val="20"/>
          <w:szCs w:val="20"/>
        </w:rPr>
        <w:t xml:space="preserve">sectors. Additionally, Kaakandikar's work on influencer marketing (Kaakandikar, 2024a) and digital wallets (Kaakandikar et al., 2024a) illustrates </w:t>
      </w:r>
      <w:r w:rsidRPr="0001291E">
        <w:rPr>
          <w:sz w:val="20"/>
          <w:szCs w:val="20"/>
        </w:rPr>
        <w:lastRenderedPageBreak/>
        <w:t>the evolving landscape of consumer engagement and spending in the digital era.</w:t>
      </w:r>
    </w:p>
    <w:p w14:paraId="46B2908A" w14:textId="77777777" w:rsidR="002D42C2" w:rsidRPr="0001291E" w:rsidRDefault="009B3576" w:rsidP="00475FA2">
      <w:pPr>
        <w:pStyle w:val="BodyText"/>
        <w:spacing w:before="120" w:line="276" w:lineRule="auto"/>
        <w:jc w:val="both"/>
        <w:rPr>
          <w:sz w:val="20"/>
          <w:szCs w:val="20"/>
        </w:rPr>
      </w:pPr>
      <w:r w:rsidRPr="0001291E">
        <w:rPr>
          <w:sz w:val="20"/>
          <w:szCs w:val="20"/>
        </w:rPr>
        <w:t>Technological applications, particularly in vehicle tracking (Shamout et al., 2022) and artificial intelligence within HR (Kaakandikar et al., 2024b; The Strategic Significance</w:t>
      </w:r>
      <w:r w:rsidRPr="0001291E">
        <w:rPr>
          <w:spacing w:val="-5"/>
          <w:sz w:val="20"/>
          <w:szCs w:val="20"/>
        </w:rPr>
        <w:t xml:space="preserve"> </w:t>
      </w:r>
      <w:r w:rsidRPr="0001291E">
        <w:rPr>
          <w:sz w:val="20"/>
          <w:szCs w:val="20"/>
        </w:rPr>
        <w:t>of</w:t>
      </w:r>
      <w:r w:rsidRPr="0001291E">
        <w:rPr>
          <w:spacing w:val="-15"/>
          <w:sz w:val="20"/>
          <w:szCs w:val="20"/>
        </w:rPr>
        <w:t xml:space="preserve"> </w:t>
      </w:r>
      <w:r w:rsidRPr="0001291E">
        <w:rPr>
          <w:sz w:val="20"/>
          <w:szCs w:val="20"/>
        </w:rPr>
        <w:t>Artificial</w:t>
      </w:r>
      <w:r w:rsidRPr="0001291E">
        <w:rPr>
          <w:spacing w:val="-5"/>
          <w:sz w:val="20"/>
          <w:szCs w:val="20"/>
        </w:rPr>
        <w:t xml:space="preserve"> </w:t>
      </w:r>
      <w:r w:rsidRPr="0001291E">
        <w:rPr>
          <w:sz w:val="20"/>
          <w:szCs w:val="20"/>
        </w:rPr>
        <w:t>Intelligence</w:t>
      </w:r>
      <w:r w:rsidRPr="0001291E">
        <w:rPr>
          <w:spacing w:val="-5"/>
          <w:sz w:val="20"/>
          <w:szCs w:val="20"/>
        </w:rPr>
        <w:t xml:space="preserve"> </w:t>
      </w:r>
      <w:r w:rsidRPr="0001291E">
        <w:rPr>
          <w:sz w:val="20"/>
          <w:szCs w:val="20"/>
        </w:rPr>
        <w:t>(AI)</w:t>
      </w:r>
      <w:r w:rsidRPr="0001291E">
        <w:rPr>
          <w:spacing w:val="-4"/>
          <w:sz w:val="20"/>
          <w:szCs w:val="20"/>
        </w:rPr>
        <w:t xml:space="preserve"> </w:t>
      </w:r>
      <w:r w:rsidRPr="0001291E">
        <w:rPr>
          <w:sz w:val="20"/>
          <w:szCs w:val="20"/>
        </w:rPr>
        <w:t xml:space="preserve">in HR Operations and Management, 2024), highlight the increasing integration of </w:t>
      </w:r>
      <w:r w:rsidRPr="0001291E">
        <w:rPr>
          <w:spacing w:val="-2"/>
          <w:sz w:val="20"/>
          <w:szCs w:val="20"/>
        </w:rPr>
        <w:t>advanced technologies</w:t>
      </w:r>
      <w:r w:rsidRPr="0001291E">
        <w:rPr>
          <w:spacing w:val="-5"/>
          <w:sz w:val="20"/>
          <w:szCs w:val="20"/>
        </w:rPr>
        <w:t xml:space="preserve"> </w:t>
      </w:r>
      <w:r w:rsidRPr="0001291E">
        <w:rPr>
          <w:spacing w:val="-2"/>
          <w:sz w:val="20"/>
          <w:szCs w:val="20"/>
        </w:rPr>
        <w:t>across</w:t>
      </w:r>
      <w:r w:rsidRPr="0001291E">
        <w:rPr>
          <w:spacing w:val="-5"/>
          <w:sz w:val="20"/>
          <w:szCs w:val="20"/>
        </w:rPr>
        <w:t xml:space="preserve"> </w:t>
      </w:r>
      <w:r w:rsidRPr="0001291E">
        <w:rPr>
          <w:spacing w:val="-2"/>
          <w:sz w:val="20"/>
          <w:szCs w:val="20"/>
        </w:rPr>
        <w:t>diverse</w:t>
      </w:r>
      <w:r w:rsidRPr="0001291E">
        <w:rPr>
          <w:spacing w:val="-8"/>
          <w:sz w:val="20"/>
          <w:szCs w:val="20"/>
        </w:rPr>
        <w:t xml:space="preserve"> </w:t>
      </w:r>
      <w:r w:rsidRPr="0001291E">
        <w:rPr>
          <w:spacing w:val="-2"/>
          <w:sz w:val="20"/>
          <w:szCs w:val="20"/>
        </w:rPr>
        <w:t xml:space="preserve">sectors. </w:t>
      </w:r>
      <w:r w:rsidRPr="0001291E">
        <w:rPr>
          <w:sz w:val="20"/>
          <w:szCs w:val="20"/>
        </w:rPr>
        <w:t>These</w:t>
      </w:r>
      <w:r w:rsidRPr="0001291E">
        <w:rPr>
          <w:spacing w:val="-14"/>
          <w:sz w:val="20"/>
          <w:szCs w:val="20"/>
        </w:rPr>
        <w:t xml:space="preserve"> </w:t>
      </w:r>
      <w:r w:rsidRPr="0001291E">
        <w:rPr>
          <w:sz w:val="20"/>
          <w:szCs w:val="20"/>
        </w:rPr>
        <w:t>investigations</w:t>
      </w:r>
      <w:r w:rsidRPr="0001291E">
        <w:rPr>
          <w:spacing w:val="-12"/>
          <w:sz w:val="20"/>
          <w:szCs w:val="20"/>
        </w:rPr>
        <w:t xml:space="preserve"> </w:t>
      </w:r>
      <w:r w:rsidRPr="0001291E">
        <w:rPr>
          <w:sz w:val="20"/>
          <w:szCs w:val="20"/>
        </w:rPr>
        <w:t>underscore</w:t>
      </w:r>
      <w:r w:rsidRPr="0001291E">
        <w:rPr>
          <w:spacing w:val="-14"/>
          <w:sz w:val="20"/>
          <w:szCs w:val="20"/>
        </w:rPr>
        <w:t xml:space="preserve"> </w:t>
      </w:r>
      <w:r w:rsidRPr="0001291E">
        <w:rPr>
          <w:sz w:val="20"/>
          <w:szCs w:val="20"/>
        </w:rPr>
        <w:t>the</w:t>
      </w:r>
      <w:r w:rsidRPr="0001291E">
        <w:rPr>
          <w:spacing w:val="-14"/>
          <w:sz w:val="20"/>
          <w:szCs w:val="20"/>
        </w:rPr>
        <w:t xml:space="preserve"> </w:t>
      </w:r>
      <w:r w:rsidRPr="0001291E">
        <w:rPr>
          <w:sz w:val="20"/>
          <w:szCs w:val="20"/>
        </w:rPr>
        <w:t xml:space="preserve">potential of technology to enhance efficiency, safety, and operational effectiveness. Furthermore, the exploration of decentralized finance (DeFi) solutions (Kaakandikar, 2024d) and data-driven insights in marketing (Pathak et al., 2024) indicates a growing interest in innovative financial technologies and data </w:t>
      </w:r>
      <w:r w:rsidRPr="0001291E">
        <w:rPr>
          <w:spacing w:val="-2"/>
          <w:sz w:val="20"/>
          <w:szCs w:val="20"/>
        </w:rPr>
        <w:t>analytics.</w:t>
      </w:r>
    </w:p>
    <w:p w14:paraId="63B01D15" w14:textId="157FF04C" w:rsidR="002D42C2" w:rsidRPr="0001291E" w:rsidRDefault="009B3576" w:rsidP="00475FA2">
      <w:pPr>
        <w:pStyle w:val="BodyText"/>
        <w:spacing w:before="120" w:line="276" w:lineRule="auto"/>
        <w:jc w:val="both"/>
        <w:rPr>
          <w:sz w:val="20"/>
          <w:szCs w:val="20"/>
        </w:rPr>
      </w:pPr>
      <w:r w:rsidRPr="0001291E">
        <w:rPr>
          <w:sz w:val="20"/>
          <w:szCs w:val="20"/>
        </w:rPr>
        <w:t>Financial markets and related behaviors are also a prominent focus in Kaakandikar's research. Studies on equity and derivative markets (Kaakandikar, 2022) and mutual fund investments (Tiwari et al., 2024a, 2024b) provide insights into investor awareness and decision-making processes. Moreover, research on GST (Poman &amp; Kaakandikar,</w:t>
      </w:r>
      <w:r w:rsidRPr="0001291E">
        <w:rPr>
          <w:spacing w:val="-15"/>
          <w:sz w:val="20"/>
          <w:szCs w:val="20"/>
        </w:rPr>
        <w:t xml:space="preserve"> </w:t>
      </w:r>
      <w:r w:rsidRPr="0001291E">
        <w:rPr>
          <w:sz w:val="20"/>
          <w:szCs w:val="20"/>
        </w:rPr>
        <w:t>2022)</w:t>
      </w:r>
      <w:r w:rsidRPr="0001291E">
        <w:rPr>
          <w:spacing w:val="-15"/>
          <w:sz w:val="20"/>
          <w:szCs w:val="20"/>
        </w:rPr>
        <w:t xml:space="preserve"> </w:t>
      </w:r>
      <w:r w:rsidRPr="0001291E">
        <w:rPr>
          <w:sz w:val="20"/>
          <w:szCs w:val="20"/>
        </w:rPr>
        <w:t>and</w:t>
      </w:r>
      <w:r w:rsidRPr="0001291E">
        <w:rPr>
          <w:spacing w:val="-15"/>
          <w:sz w:val="20"/>
          <w:szCs w:val="20"/>
        </w:rPr>
        <w:t xml:space="preserve"> </w:t>
      </w:r>
      <w:r w:rsidRPr="0001291E">
        <w:rPr>
          <w:sz w:val="20"/>
          <w:szCs w:val="20"/>
        </w:rPr>
        <w:t>the</w:t>
      </w:r>
      <w:r w:rsidRPr="0001291E">
        <w:rPr>
          <w:spacing w:val="-15"/>
          <w:sz w:val="20"/>
          <w:szCs w:val="20"/>
        </w:rPr>
        <w:t xml:space="preserve"> </w:t>
      </w:r>
      <w:r w:rsidRPr="0001291E">
        <w:rPr>
          <w:sz w:val="20"/>
          <w:szCs w:val="20"/>
        </w:rPr>
        <w:t>fall</w:t>
      </w:r>
      <w:r w:rsidRPr="0001291E">
        <w:rPr>
          <w:spacing w:val="-15"/>
          <w:sz w:val="20"/>
          <w:szCs w:val="20"/>
        </w:rPr>
        <w:t xml:space="preserve"> </w:t>
      </w:r>
      <w:r w:rsidRPr="0001291E">
        <w:rPr>
          <w:sz w:val="20"/>
          <w:szCs w:val="20"/>
        </w:rPr>
        <w:t>and</w:t>
      </w:r>
      <w:r w:rsidRPr="0001291E">
        <w:rPr>
          <w:spacing w:val="-15"/>
          <w:sz w:val="20"/>
          <w:szCs w:val="20"/>
        </w:rPr>
        <w:t xml:space="preserve"> </w:t>
      </w:r>
      <w:r w:rsidRPr="0001291E">
        <w:rPr>
          <w:sz w:val="20"/>
          <w:szCs w:val="20"/>
        </w:rPr>
        <w:t>rise</w:t>
      </w:r>
      <w:r w:rsidRPr="0001291E">
        <w:rPr>
          <w:spacing w:val="-15"/>
          <w:sz w:val="20"/>
          <w:szCs w:val="20"/>
        </w:rPr>
        <w:t xml:space="preserve"> </w:t>
      </w:r>
      <w:r w:rsidRPr="0001291E">
        <w:rPr>
          <w:sz w:val="20"/>
          <w:szCs w:val="20"/>
        </w:rPr>
        <w:t>of</w:t>
      </w:r>
      <w:r w:rsidRPr="0001291E">
        <w:rPr>
          <w:spacing w:val="-15"/>
          <w:sz w:val="20"/>
          <w:szCs w:val="20"/>
        </w:rPr>
        <w:t xml:space="preserve"> </w:t>
      </w:r>
      <w:r w:rsidRPr="0001291E">
        <w:rPr>
          <w:sz w:val="20"/>
          <w:szCs w:val="20"/>
        </w:rPr>
        <w:t>C- Mart (Kaakandikar &amp; Gawade, 2024) examines the impacts of economic policies and</w:t>
      </w:r>
      <w:r w:rsidRPr="0001291E">
        <w:rPr>
          <w:spacing w:val="73"/>
          <w:sz w:val="20"/>
          <w:szCs w:val="20"/>
        </w:rPr>
        <w:t xml:space="preserve"> </w:t>
      </w:r>
      <w:r w:rsidRPr="0001291E">
        <w:rPr>
          <w:sz w:val="20"/>
          <w:szCs w:val="20"/>
        </w:rPr>
        <w:t>market</w:t>
      </w:r>
      <w:r w:rsidRPr="0001291E">
        <w:rPr>
          <w:spacing w:val="72"/>
          <w:sz w:val="20"/>
          <w:szCs w:val="20"/>
        </w:rPr>
        <w:t xml:space="preserve"> </w:t>
      </w:r>
      <w:r w:rsidRPr="0001291E">
        <w:rPr>
          <w:sz w:val="20"/>
          <w:szCs w:val="20"/>
        </w:rPr>
        <w:t>dynamics</w:t>
      </w:r>
      <w:r w:rsidR="00493138">
        <w:rPr>
          <w:spacing w:val="74"/>
          <w:sz w:val="20"/>
          <w:szCs w:val="20"/>
        </w:rPr>
        <w:t xml:space="preserve"> </w:t>
      </w:r>
      <w:r w:rsidRPr="0001291E">
        <w:rPr>
          <w:sz w:val="20"/>
          <w:szCs w:val="20"/>
        </w:rPr>
        <w:t>on</w:t>
      </w:r>
      <w:r w:rsidR="00493138">
        <w:rPr>
          <w:sz w:val="20"/>
          <w:szCs w:val="20"/>
        </w:rPr>
        <w:t xml:space="preserve"> </w:t>
      </w:r>
      <w:r w:rsidRPr="0001291E">
        <w:rPr>
          <w:spacing w:val="-2"/>
          <w:sz w:val="20"/>
          <w:szCs w:val="20"/>
        </w:rPr>
        <w:t>businesses.</w:t>
      </w:r>
      <w:r w:rsidR="00AD3460">
        <w:rPr>
          <w:spacing w:val="-2"/>
          <w:sz w:val="20"/>
          <w:szCs w:val="20"/>
        </w:rPr>
        <w:t xml:space="preserve"> </w:t>
      </w:r>
    </w:p>
    <w:p w14:paraId="40805259" w14:textId="77777777" w:rsidR="002D42C2" w:rsidRPr="0001291E" w:rsidRDefault="009B3576" w:rsidP="00475FA2">
      <w:pPr>
        <w:pStyle w:val="BodyText"/>
        <w:spacing w:before="120" w:line="276" w:lineRule="auto"/>
        <w:jc w:val="both"/>
        <w:rPr>
          <w:sz w:val="20"/>
          <w:szCs w:val="20"/>
        </w:rPr>
      </w:pPr>
      <w:r w:rsidRPr="0001291E">
        <w:rPr>
          <w:sz w:val="20"/>
          <w:szCs w:val="20"/>
        </w:rPr>
        <w:t>Kaakandikar’s work on cultural intelligence in management education (Kaakandikar, 2024c) and phygital transformation for sustainability (Kaakandikar, 2024b) further demonstrates</w:t>
      </w:r>
      <w:r w:rsidRPr="0001291E">
        <w:rPr>
          <w:spacing w:val="-5"/>
          <w:sz w:val="20"/>
          <w:szCs w:val="20"/>
        </w:rPr>
        <w:t xml:space="preserve"> </w:t>
      </w:r>
      <w:r w:rsidRPr="0001291E">
        <w:rPr>
          <w:sz w:val="20"/>
          <w:szCs w:val="20"/>
        </w:rPr>
        <w:t>his</w:t>
      </w:r>
      <w:r w:rsidRPr="0001291E">
        <w:rPr>
          <w:spacing w:val="-5"/>
          <w:sz w:val="20"/>
          <w:szCs w:val="20"/>
        </w:rPr>
        <w:t xml:space="preserve"> </w:t>
      </w:r>
      <w:r w:rsidRPr="0001291E">
        <w:rPr>
          <w:sz w:val="20"/>
          <w:szCs w:val="20"/>
        </w:rPr>
        <w:t>focus</w:t>
      </w:r>
      <w:r w:rsidRPr="0001291E">
        <w:rPr>
          <w:spacing w:val="-5"/>
          <w:sz w:val="20"/>
          <w:szCs w:val="20"/>
        </w:rPr>
        <w:t xml:space="preserve"> </w:t>
      </w:r>
      <w:r w:rsidRPr="0001291E">
        <w:rPr>
          <w:sz w:val="20"/>
          <w:szCs w:val="20"/>
        </w:rPr>
        <w:t>on</w:t>
      </w:r>
      <w:r w:rsidRPr="0001291E">
        <w:rPr>
          <w:spacing w:val="-6"/>
          <w:sz w:val="20"/>
          <w:szCs w:val="20"/>
        </w:rPr>
        <w:t xml:space="preserve"> </w:t>
      </w:r>
      <w:r w:rsidRPr="0001291E">
        <w:rPr>
          <w:sz w:val="20"/>
          <w:szCs w:val="20"/>
        </w:rPr>
        <w:t>broader</w:t>
      </w:r>
      <w:r w:rsidRPr="0001291E">
        <w:rPr>
          <w:spacing w:val="-6"/>
          <w:sz w:val="20"/>
          <w:szCs w:val="20"/>
        </w:rPr>
        <w:t xml:space="preserve"> </w:t>
      </w:r>
      <w:r w:rsidRPr="0001291E">
        <w:rPr>
          <w:sz w:val="20"/>
          <w:szCs w:val="20"/>
        </w:rPr>
        <w:t>social</w:t>
      </w:r>
      <w:r w:rsidRPr="0001291E">
        <w:rPr>
          <w:spacing w:val="-3"/>
          <w:sz w:val="20"/>
          <w:szCs w:val="20"/>
        </w:rPr>
        <w:t xml:space="preserve"> </w:t>
      </w:r>
      <w:r w:rsidRPr="0001291E">
        <w:rPr>
          <w:sz w:val="20"/>
          <w:szCs w:val="20"/>
        </w:rPr>
        <w:t>and educational themes.</w:t>
      </w:r>
    </w:p>
    <w:p w14:paraId="15E3F993" w14:textId="77777777" w:rsidR="002D42C2" w:rsidRPr="0001291E" w:rsidRDefault="009B3576" w:rsidP="00475FA2">
      <w:pPr>
        <w:pStyle w:val="Heading2"/>
        <w:numPr>
          <w:ilvl w:val="0"/>
          <w:numId w:val="2"/>
        </w:numPr>
        <w:tabs>
          <w:tab w:val="left" w:pos="360"/>
        </w:tabs>
        <w:spacing w:before="120" w:line="276" w:lineRule="auto"/>
        <w:ind w:left="720" w:hanging="720"/>
        <w:jc w:val="both"/>
        <w:rPr>
          <w:sz w:val="20"/>
          <w:szCs w:val="20"/>
        </w:rPr>
      </w:pPr>
      <w:r w:rsidRPr="0001291E">
        <w:rPr>
          <w:spacing w:val="-2"/>
          <w:sz w:val="20"/>
          <w:szCs w:val="20"/>
        </w:rPr>
        <w:t>SIGNIFICANCE</w:t>
      </w:r>
    </w:p>
    <w:p w14:paraId="65EA3CB0" w14:textId="77777777" w:rsidR="002D42C2" w:rsidRPr="0001291E" w:rsidRDefault="009B3576" w:rsidP="00475FA2">
      <w:pPr>
        <w:pStyle w:val="BodyText"/>
        <w:spacing w:before="120" w:line="276" w:lineRule="auto"/>
        <w:ind w:firstLine="50"/>
        <w:jc w:val="both"/>
        <w:rPr>
          <w:sz w:val="20"/>
          <w:szCs w:val="20"/>
        </w:rPr>
      </w:pPr>
      <w:r w:rsidRPr="0001291E">
        <w:rPr>
          <w:sz w:val="20"/>
          <w:szCs w:val="20"/>
        </w:rPr>
        <w:t>The significance of this research lies in its ability to provide valuable insights into the growing field of ESG investing. As sustainable finance continues to gain prominence, understanding investor behaviour and decision-making processes becomes essential.</w:t>
      </w:r>
      <w:r w:rsidRPr="0001291E">
        <w:rPr>
          <w:spacing w:val="-6"/>
          <w:sz w:val="20"/>
          <w:szCs w:val="20"/>
        </w:rPr>
        <w:t xml:space="preserve"> </w:t>
      </w:r>
      <w:r w:rsidRPr="0001291E">
        <w:rPr>
          <w:sz w:val="20"/>
          <w:szCs w:val="20"/>
        </w:rPr>
        <w:t>This study</w:t>
      </w:r>
      <w:r w:rsidRPr="0001291E">
        <w:rPr>
          <w:spacing w:val="-2"/>
          <w:sz w:val="20"/>
          <w:szCs w:val="20"/>
        </w:rPr>
        <w:t xml:space="preserve"> </w:t>
      </w:r>
      <w:r w:rsidRPr="0001291E">
        <w:rPr>
          <w:sz w:val="20"/>
          <w:szCs w:val="20"/>
        </w:rPr>
        <w:t>aims to</w:t>
      </w:r>
      <w:r w:rsidRPr="0001291E">
        <w:rPr>
          <w:spacing w:val="-2"/>
          <w:sz w:val="20"/>
          <w:szCs w:val="20"/>
        </w:rPr>
        <w:t xml:space="preserve"> </w:t>
      </w:r>
      <w:r w:rsidRPr="0001291E">
        <w:rPr>
          <w:sz w:val="20"/>
          <w:szCs w:val="20"/>
        </w:rPr>
        <w:t>bridge the</w:t>
      </w:r>
      <w:r w:rsidRPr="0001291E">
        <w:rPr>
          <w:spacing w:val="-13"/>
          <w:sz w:val="20"/>
          <w:szCs w:val="20"/>
        </w:rPr>
        <w:t xml:space="preserve"> </w:t>
      </w:r>
      <w:r w:rsidRPr="0001291E">
        <w:rPr>
          <w:sz w:val="20"/>
          <w:szCs w:val="20"/>
        </w:rPr>
        <w:t>knowledge</w:t>
      </w:r>
      <w:r w:rsidRPr="0001291E">
        <w:rPr>
          <w:spacing w:val="-9"/>
          <w:sz w:val="20"/>
          <w:szCs w:val="20"/>
        </w:rPr>
        <w:t xml:space="preserve"> </w:t>
      </w:r>
      <w:r w:rsidRPr="0001291E">
        <w:rPr>
          <w:sz w:val="20"/>
          <w:szCs w:val="20"/>
        </w:rPr>
        <w:t>gap</w:t>
      </w:r>
      <w:r w:rsidRPr="0001291E">
        <w:rPr>
          <w:spacing w:val="-12"/>
          <w:sz w:val="20"/>
          <w:szCs w:val="20"/>
        </w:rPr>
        <w:t xml:space="preserve"> </w:t>
      </w:r>
      <w:r w:rsidRPr="0001291E">
        <w:rPr>
          <w:sz w:val="20"/>
          <w:szCs w:val="20"/>
        </w:rPr>
        <w:t>by</w:t>
      </w:r>
      <w:r w:rsidRPr="0001291E">
        <w:rPr>
          <w:spacing w:val="-7"/>
          <w:sz w:val="20"/>
          <w:szCs w:val="20"/>
        </w:rPr>
        <w:t xml:space="preserve"> </w:t>
      </w:r>
      <w:r w:rsidRPr="0001291E">
        <w:rPr>
          <w:sz w:val="20"/>
          <w:szCs w:val="20"/>
        </w:rPr>
        <w:t>identifying</w:t>
      </w:r>
      <w:r w:rsidRPr="0001291E">
        <w:rPr>
          <w:spacing w:val="-12"/>
          <w:sz w:val="20"/>
          <w:szCs w:val="20"/>
        </w:rPr>
        <w:t xml:space="preserve"> </w:t>
      </w:r>
      <w:r w:rsidRPr="0001291E">
        <w:rPr>
          <w:sz w:val="20"/>
          <w:szCs w:val="20"/>
        </w:rPr>
        <w:t>key</w:t>
      </w:r>
      <w:r w:rsidRPr="0001291E">
        <w:rPr>
          <w:spacing w:val="-12"/>
          <w:sz w:val="20"/>
          <w:szCs w:val="20"/>
        </w:rPr>
        <w:t xml:space="preserve"> </w:t>
      </w:r>
      <w:r w:rsidRPr="0001291E">
        <w:rPr>
          <w:sz w:val="20"/>
          <w:szCs w:val="20"/>
        </w:rPr>
        <w:t>factors that influence ESG investment adoption, including awareness levels, financial incentives,</w:t>
      </w:r>
      <w:r w:rsidRPr="0001291E">
        <w:rPr>
          <w:spacing w:val="-11"/>
          <w:sz w:val="20"/>
          <w:szCs w:val="20"/>
        </w:rPr>
        <w:t xml:space="preserve"> </w:t>
      </w:r>
      <w:r w:rsidRPr="0001291E">
        <w:rPr>
          <w:sz w:val="20"/>
          <w:szCs w:val="20"/>
        </w:rPr>
        <w:t>and</w:t>
      </w:r>
      <w:r w:rsidRPr="0001291E">
        <w:rPr>
          <w:spacing w:val="-11"/>
          <w:sz w:val="20"/>
          <w:szCs w:val="20"/>
        </w:rPr>
        <w:t xml:space="preserve"> </w:t>
      </w:r>
      <w:r w:rsidRPr="0001291E">
        <w:rPr>
          <w:sz w:val="20"/>
          <w:szCs w:val="20"/>
        </w:rPr>
        <w:t>perceived</w:t>
      </w:r>
      <w:r w:rsidRPr="0001291E">
        <w:rPr>
          <w:spacing w:val="-11"/>
          <w:sz w:val="20"/>
          <w:szCs w:val="20"/>
        </w:rPr>
        <w:t xml:space="preserve"> </w:t>
      </w:r>
      <w:r w:rsidRPr="0001291E">
        <w:rPr>
          <w:sz w:val="20"/>
          <w:szCs w:val="20"/>
        </w:rPr>
        <w:t>risks.</w:t>
      </w:r>
      <w:r w:rsidRPr="0001291E">
        <w:rPr>
          <w:spacing w:val="-11"/>
          <w:sz w:val="20"/>
          <w:szCs w:val="20"/>
        </w:rPr>
        <w:t xml:space="preserve"> </w:t>
      </w:r>
      <w:r w:rsidRPr="0001291E">
        <w:rPr>
          <w:sz w:val="20"/>
          <w:szCs w:val="20"/>
        </w:rPr>
        <w:t xml:space="preserve">Furthermore, this research seeks to assist financial institutions in </w:t>
      </w:r>
      <w:r w:rsidRPr="0001291E">
        <w:rPr>
          <w:sz w:val="20"/>
          <w:szCs w:val="20"/>
        </w:rPr>
        <w:t>developing ESG-focused investment products that align with investor preferences, while also offering policymakers valuable data to craft regulations and incentives that encourage sustainable investing. By examining long- term market trends, this study contributes to the broader discourse on ESG investing, enabling a more informed and ESG- conscious investment landscape.</w:t>
      </w:r>
    </w:p>
    <w:p w14:paraId="6627264B" w14:textId="77777777" w:rsidR="002D42C2" w:rsidRPr="0001291E" w:rsidRDefault="009B3576" w:rsidP="00475FA2">
      <w:pPr>
        <w:pStyle w:val="Heading2"/>
        <w:numPr>
          <w:ilvl w:val="0"/>
          <w:numId w:val="2"/>
        </w:numPr>
        <w:tabs>
          <w:tab w:val="left" w:pos="270"/>
          <w:tab w:val="left" w:pos="2160"/>
        </w:tabs>
        <w:spacing w:before="120" w:line="276" w:lineRule="auto"/>
        <w:ind w:left="720" w:hanging="720"/>
        <w:jc w:val="both"/>
        <w:rPr>
          <w:sz w:val="20"/>
          <w:szCs w:val="20"/>
        </w:rPr>
      </w:pPr>
      <w:r w:rsidRPr="0001291E">
        <w:rPr>
          <w:spacing w:val="-2"/>
          <w:sz w:val="20"/>
          <w:szCs w:val="20"/>
        </w:rPr>
        <w:t>METHODOLOGY</w:t>
      </w:r>
    </w:p>
    <w:p w14:paraId="06F4FCD7" w14:textId="77777777" w:rsidR="002D42C2" w:rsidRPr="0001291E" w:rsidRDefault="009B3576" w:rsidP="00475FA2">
      <w:pPr>
        <w:pStyle w:val="BodyText"/>
        <w:spacing w:before="120" w:line="276" w:lineRule="auto"/>
        <w:jc w:val="both"/>
        <w:rPr>
          <w:sz w:val="20"/>
          <w:szCs w:val="20"/>
        </w:rPr>
      </w:pPr>
      <w:r w:rsidRPr="0001291E">
        <w:rPr>
          <w:sz w:val="20"/>
          <w:szCs w:val="20"/>
        </w:rPr>
        <w:t>This study employs a mixed-methods approach to analyze the impact of ESG (Environmental, Social, and Governance) awareness on</w:t>
      </w:r>
      <w:r w:rsidRPr="0001291E">
        <w:rPr>
          <w:spacing w:val="-2"/>
          <w:sz w:val="20"/>
          <w:szCs w:val="20"/>
        </w:rPr>
        <w:t xml:space="preserve"> </w:t>
      </w:r>
      <w:r w:rsidRPr="0001291E">
        <w:rPr>
          <w:sz w:val="20"/>
          <w:szCs w:val="20"/>
        </w:rPr>
        <w:t>personal</w:t>
      </w:r>
      <w:r w:rsidRPr="0001291E">
        <w:rPr>
          <w:spacing w:val="-3"/>
          <w:sz w:val="20"/>
          <w:szCs w:val="20"/>
        </w:rPr>
        <w:t xml:space="preserve"> </w:t>
      </w:r>
      <w:r w:rsidRPr="0001291E">
        <w:rPr>
          <w:sz w:val="20"/>
          <w:szCs w:val="20"/>
        </w:rPr>
        <w:t>investment</w:t>
      </w:r>
      <w:r w:rsidRPr="0001291E">
        <w:rPr>
          <w:spacing w:val="-3"/>
          <w:sz w:val="20"/>
          <w:szCs w:val="20"/>
        </w:rPr>
        <w:t xml:space="preserve"> </w:t>
      </w:r>
      <w:r w:rsidRPr="0001291E">
        <w:rPr>
          <w:sz w:val="20"/>
          <w:szCs w:val="20"/>
        </w:rPr>
        <w:t>decisions. By integrating both qualitative and quantitative research techniques, the study provides a comprehensive understanding of how ESG awareness influences investment choices, preferences, and behaviors among individual investors.</w:t>
      </w:r>
    </w:p>
    <w:p w14:paraId="7F9485AA" w14:textId="29EC1437" w:rsidR="002D42C2" w:rsidRPr="0001291E" w:rsidRDefault="009B3576" w:rsidP="00475FA2">
      <w:pPr>
        <w:pStyle w:val="Heading3"/>
        <w:spacing w:before="120" w:line="276" w:lineRule="auto"/>
        <w:ind w:left="0"/>
        <w:jc w:val="both"/>
        <w:rPr>
          <w:sz w:val="20"/>
          <w:szCs w:val="20"/>
        </w:rPr>
      </w:pPr>
      <w:r w:rsidRPr="0001291E">
        <w:rPr>
          <w:sz w:val="20"/>
          <w:szCs w:val="20"/>
        </w:rPr>
        <w:t>Research</w:t>
      </w:r>
      <w:r w:rsidRPr="0001291E">
        <w:rPr>
          <w:spacing w:val="-10"/>
          <w:sz w:val="20"/>
          <w:szCs w:val="20"/>
        </w:rPr>
        <w:t xml:space="preserve"> </w:t>
      </w:r>
      <w:r w:rsidRPr="0001291E">
        <w:rPr>
          <w:spacing w:val="-2"/>
          <w:sz w:val="20"/>
          <w:szCs w:val="20"/>
        </w:rPr>
        <w:t>Design</w:t>
      </w:r>
    </w:p>
    <w:p w14:paraId="7FD8C87C" w14:textId="77777777" w:rsidR="002D42C2" w:rsidRPr="0001291E" w:rsidRDefault="009B3576" w:rsidP="00475FA2">
      <w:pPr>
        <w:pStyle w:val="BodyText"/>
        <w:spacing w:before="120" w:line="276" w:lineRule="auto"/>
        <w:jc w:val="both"/>
        <w:rPr>
          <w:sz w:val="20"/>
          <w:szCs w:val="20"/>
        </w:rPr>
      </w:pPr>
      <w:r w:rsidRPr="0001291E">
        <w:rPr>
          <w:sz w:val="20"/>
          <w:szCs w:val="20"/>
        </w:rPr>
        <w:t>The study follows an exploratory and descriptive research design. The exploratory aspect seeks to identify the key factors and drivers influencing individual investors' perceptions of ESG, while the descriptive analysis quantifies the degree to which ESG awareness influences investment decisions, portfolio allocation, and preference for sustainable investments.</w:t>
      </w:r>
    </w:p>
    <w:p w14:paraId="495F9F72" w14:textId="77777777" w:rsidR="002D42C2" w:rsidRPr="0001291E" w:rsidRDefault="009B3576" w:rsidP="00475FA2">
      <w:pPr>
        <w:pStyle w:val="Heading3"/>
        <w:numPr>
          <w:ilvl w:val="0"/>
          <w:numId w:val="1"/>
        </w:numPr>
        <w:tabs>
          <w:tab w:val="left" w:pos="1398"/>
        </w:tabs>
        <w:spacing w:before="120" w:line="276" w:lineRule="auto"/>
        <w:ind w:left="358" w:hanging="358"/>
        <w:jc w:val="both"/>
        <w:rPr>
          <w:b w:val="0"/>
          <w:sz w:val="20"/>
          <w:szCs w:val="20"/>
        </w:rPr>
      </w:pPr>
      <w:r w:rsidRPr="0001291E">
        <w:rPr>
          <w:sz w:val="20"/>
          <w:szCs w:val="20"/>
        </w:rPr>
        <w:t>Data</w:t>
      </w:r>
      <w:r w:rsidRPr="0001291E">
        <w:rPr>
          <w:spacing w:val="1"/>
          <w:sz w:val="20"/>
          <w:szCs w:val="20"/>
        </w:rPr>
        <w:t xml:space="preserve"> </w:t>
      </w:r>
      <w:r w:rsidRPr="0001291E">
        <w:rPr>
          <w:spacing w:val="-2"/>
          <w:sz w:val="20"/>
          <w:szCs w:val="20"/>
        </w:rPr>
        <w:t>Collection</w:t>
      </w:r>
      <w:r w:rsidRPr="0001291E">
        <w:rPr>
          <w:b w:val="0"/>
          <w:spacing w:val="-2"/>
          <w:sz w:val="20"/>
          <w:szCs w:val="20"/>
        </w:rPr>
        <w:t>:</w:t>
      </w:r>
    </w:p>
    <w:p w14:paraId="7474BF5D" w14:textId="77777777" w:rsidR="002D42C2" w:rsidRPr="0001291E" w:rsidRDefault="009B3576" w:rsidP="00475FA2">
      <w:pPr>
        <w:pStyle w:val="BodyText"/>
        <w:spacing w:before="120" w:line="276" w:lineRule="auto"/>
        <w:jc w:val="both"/>
        <w:rPr>
          <w:sz w:val="20"/>
          <w:szCs w:val="20"/>
        </w:rPr>
      </w:pPr>
      <w:r w:rsidRPr="0001291E">
        <w:rPr>
          <w:sz w:val="20"/>
          <w:szCs w:val="20"/>
        </w:rPr>
        <w:t>Both primary and secondary data sources</w:t>
      </w:r>
      <w:r w:rsidRPr="0001291E">
        <w:rPr>
          <w:spacing w:val="-1"/>
          <w:sz w:val="20"/>
          <w:szCs w:val="20"/>
        </w:rPr>
        <w:t xml:space="preserve"> </w:t>
      </w:r>
      <w:r w:rsidRPr="0001291E">
        <w:rPr>
          <w:sz w:val="20"/>
          <w:szCs w:val="20"/>
        </w:rPr>
        <w:t>are</w:t>
      </w:r>
      <w:r w:rsidRPr="0001291E">
        <w:rPr>
          <w:spacing w:val="-4"/>
          <w:sz w:val="20"/>
          <w:szCs w:val="20"/>
        </w:rPr>
        <w:t xml:space="preserve"> </w:t>
      </w:r>
      <w:r w:rsidRPr="0001291E">
        <w:rPr>
          <w:sz w:val="20"/>
          <w:szCs w:val="20"/>
        </w:rPr>
        <w:t>utilized</w:t>
      </w:r>
      <w:r w:rsidRPr="0001291E">
        <w:rPr>
          <w:spacing w:val="-2"/>
          <w:sz w:val="20"/>
          <w:szCs w:val="20"/>
        </w:rPr>
        <w:t xml:space="preserve"> </w:t>
      </w:r>
      <w:r w:rsidRPr="0001291E">
        <w:rPr>
          <w:sz w:val="20"/>
          <w:szCs w:val="20"/>
        </w:rPr>
        <w:t>in</w:t>
      </w:r>
      <w:r w:rsidRPr="0001291E">
        <w:rPr>
          <w:spacing w:val="-2"/>
          <w:sz w:val="20"/>
          <w:szCs w:val="20"/>
        </w:rPr>
        <w:t xml:space="preserve"> </w:t>
      </w:r>
      <w:r w:rsidRPr="0001291E">
        <w:rPr>
          <w:sz w:val="20"/>
          <w:szCs w:val="20"/>
        </w:rPr>
        <w:t xml:space="preserve">this </w:t>
      </w:r>
      <w:r w:rsidRPr="0001291E">
        <w:rPr>
          <w:spacing w:val="-2"/>
          <w:sz w:val="20"/>
          <w:szCs w:val="20"/>
        </w:rPr>
        <w:t>research:</w:t>
      </w:r>
    </w:p>
    <w:p w14:paraId="3DDE42A7" w14:textId="77777777" w:rsidR="002D42C2" w:rsidRPr="0001291E" w:rsidRDefault="009B3576" w:rsidP="00475FA2">
      <w:pPr>
        <w:pStyle w:val="ListParagraph"/>
        <w:numPr>
          <w:ilvl w:val="2"/>
          <w:numId w:val="2"/>
        </w:numPr>
        <w:tabs>
          <w:tab w:val="left" w:pos="1400"/>
        </w:tabs>
        <w:spacing w:before="120" w:line="276" w:lineRule="auto"/>
        <w:ind w:left="360"/>
        <w:rPr>
          <w:sz w:val="20"/>
          <w:szCs w:val="20"/>
        </w:rPr>
      </w:pPr>
      <w:r w:rsidRPr="0001291E">
        <w:rPr>
          <w:b/>
          <w:sz w:val="20"/>
          <w:szCs w:val="20"/>
        </w:rPr>
        <w:t>Primary Data</w:t>
      </w:r>
      <w:r w:rsidRPr="0001291E">
        <w:rPr>
          <w:sz w:val="20"/>
          <w:szCs w:val="20"/>
        </w:rPr>
        <w:t>: A structured questionnaire was administered to individual</w:t>
      </w:r>
      <w:r w:rsidRPr="0001291E">
        <w:rPr>
          <w:spacing w:val="-4"/>
          <w:sz w:val="20"/>
          <w:szCs w:val="20"/>
        </w:rPr>
        <w:t xml:space="preserve"> </w:t>
      </w:r>
      <w:r w:rsidRPr="0001291E">
        <w:rPr>
          <w:sz w:val="20"/>
          <w:szCs w:val="20"/>
        </w:rPr>
        <w:t>investors</w:t>
      </w:r>
      <w:r w:rsidRPr="0001291E">
        <w:rPr>
          <w:spacing w:val="-1"/>
          <w:sz w:val="20"/>
          <w:szCs w:val="20"/>
        </w:rPr>
        <w:t xml:space="preserve"> </w:t>
      </w:r>
      <w:r w:rsidRPr="0001291E">
        <w:rPr>
          <w:sz w:val="20"/>
          <w:szCs w:val="20"/>
        </w:rPr>
        <w:t>to</w:t>
      </w:r>
      <w:r w:rsidRPr="0001291E">
        <w:rPr>
          <w:spacing w:val="-3"/>
          <w:sz w:val="20"/>
          <w:szCs w:val="20"/>
        </w:rPr>
        <w:t xml:space="preserve"> </w:t>
      </w:r>
      <w:r w:rsidRPr="0001291E">
        <w:rPr>
          <w:sz w:val="20"/>
          <w:szCs w:val="20"/>
        </w:rPr>
        <w:t>gather data</w:t>
      </w:r>
      <w:r w:rsidRPr="0001291E">
        <w:rPr>
          <w:spacing w:val="-4"/>
          <w:sz w:val="20"/>
          <w:szCs w:val="20"/>
        </w:rPr>
        <w:t xml:space="preserve"> </w:t>
      </w:r>
      <w:r w:rsidRPr="0001291E">
        <w:rPr>
          <w:sz w:val="20"/>
          <w:szCs w:val="20"/>
        </w:rPr>
        <w:t>on their awareness of ESG factors, their investment behavior, and their preferences for sustainable financial products. The survey included a combination of closed-ended questions</w:t>
      </w:r>
      <w:r w:rsidRPr="0001291E">
        <w:rPr>
          <w:spacing w:val="-3"/>
          <w:sz w:val="20"/>
          <w:szCs w:val="20"/>
        </w:rPr>
        <w:t xml:space="preserve"> </w:t>
      </w:r>
      <w:r w:rsidRPr="0001291E">
        <w:rPr>
          <w:sz w:val="20"/>
          <w:szCs w:val="20"/>
        </w:rPr>
        <w:t>to capture</w:t>
      </w:r>
      <w:r w:rsidRPr="0001291E">
        <w:rPr>
          <w:spacing w:val="-6"/>
          <w:sz w:val="20"/>
          <w:szCs w:val="20"/>
        </w:rPr>
        <w:t xml:space="preserve"> </w:t>
      </w:r>
      <w:r w:rsidRPr="0001291E">
        <w:rPr>
          <w:sz w:val="20"/>
          <w:szCs w:val="20"/>
        </w:rPr>
        <w:t>quantitative</w:t>
      </w:r>
      <w:r w:rsidRPr="0001291E">
        <w:rPr>
          <w:spacing w:val="-6"/>
          <w:sz w:val="20"/>
          <w:szCs w:val="20"/>
        </w:rPr>
        <w:t xml:space="preserve"> </w:t>
      </w:r>
      <w:r w:rsidRPr="0001291E">
        <w:rPr>
          <w:sz w:val="20"/>
          <w:szCs w:val="20"/>
        </w:rPr>
        <w:t xml:space="preserve">data (such as the level of ESG awareness and investment preferences) and open-ended questions to gather qualitative insights on motivations, challenges, and the influence of personal values on investment </w:t>
      </w:r>
      <w:r w:rsidRPr="0001291E">
        <w:rPr>
          <w:spacing w:val="-2"/>
          <w:sz w:val="20"/>
          <w:szCs w:val="20"/>
        </w:rPr>
        <w:t>decisions.</w:t>
      </w:r>
    </w:p>
    <w:p w14:paraId="12AFE1DA" w14:textId="77777777" w:rsidR="002D42C2" w:rsidRPr="0001291E" w:rsidRDefault="009B3576" w:rsidP="00475FA2">
      <w:pPr>
        <w:pStyle w:val="ListParagraph"/>
        <w:numPr>
          <w:ilvl w:val="2"/>
          <w:numId w:val="2"/>
        </w:numPr>
        <w:tabs>
          <w:tab w:val="left" w:pos="1400"/>
        </w:tabs>
        <w:spacing w:before="120" w:line="276" w:lineRule="auto"/>
        <w:ind w:left="360"/>
        <w:rPr>
          <w:sz w:val="20"/>
          <w:szCs w:val="20"/>
        </w:rPr>
      </w:pPr>
      <w:r w:rsidRPr="0001291E">
        <w:rPr>
          <w:b/>
          <w:sz w:val="20"/>
          <w:szCs w:val="20"/>
        </w:rPr>
        <w:lastRenderedPageBreak/>
        <w:t>Secondary</w:t>
      </w:r>
      <w:r w:rsidRPr="0001291E">
        <w:rPr>
          <w:b/>
          <w:spacing w:val="-13"/>
          <w:sz w:val="20"/>
          <w:szCs w:val="20"/>
        </w:rPr>
        <w:t xml:space="preserve"> </w:t>
      </w:r>
      <w:r w:rsidRPr="0001291E">
        <w:rPr>
          <w:b/>
          <w:sz w:val="20"/>
          <w:szCs w:val="20"/>
        </w:rPr>
        <w:t>Data</w:t>
      </w:r>
      <w:r w:rsidRPr="0001291E">
        <w:rPr>
          <w:sz w:val="20"/>
          <w:szCs w:val="20"/>
        </w:rPr>
        <w:t>:</w:t>
      </w:r>
      <w:r w:rsidRPr="0001291E">
        <w:rPr>
          <w:spacing w:val="-15"/>
          <w:sz w:val="20"/>
          <w:szCs w:val="20"/>
        </w:rPr>
        <w:t xml:space="preserve"> </w:t>
      </w:r>
      <w:r w:rsidRPr="0001291E">
        <w:rPr>
          <w:sz w:val="20"/>
          <w:szCs w:val="20"/>
        </w:rPr>
        <w:t>Relevant</w:t>
      </w:r>
      <w:r w:rsidRPr="0001291E">
        <w:rPr>
          <w:spacing w:val="-15"/>
          <w:sz w:val="20"/>
          <w:szCs w:val="20"/>
        </w:rPr>
        <w:t xml:space="preserve"> </w:t>
      </w:r>
      <w:r w:rsidRPr="0001291E">
        <w:rPr>
          <w:sz w:val="20"/>
          <w:szCs w:val="20"/>
        </w:rPr>
        <w:t xml:space="preserve">literature, industry reports, and case studies from financial institutions regarding ESG investment trends were reviewed to provide context and validate the findings of the primary </w:t>
      </w:r>
      <w:r w:rsidRPr="0001291E">
        <w:rPr>
          <w:spacing w:val="-2"/>
          <w:sz w:val="20"/>
          <w:szCs w:val="20"/>
        </w:rPr>
        <w:t>research.</w:t>
      </w:r>
    </w:p>
    <w:p w14:paraId="6DA27E7E" w14:textId="77777777" w:rsidR="002D42C2" w:rsidRPr="0001291E" w:rsidRDefault="009B3576" w:rsidP="00475FA2">
      <w:pPr>
        <w:pStyle w:val="Heading3"/>
        <w:numPr>
          <w:ilvl w:val="0"/>
          <w:numId w:val="1"/>
        </w:numPr>
        <w:tabs>
          <w:tab w:val="left" w:pos="2160"/>
        </w:tabs>
        <w:spacing w:before="120" w:line="276" w:lineRule="auto"/>
        <w:ind w:left="359" w:hanging="359"/>
        <w:jc w:val="both"/>
        <w:rPr>
          <w:b w:val="0"/>
          <w:sz w:val="20"/>
          <w:szCs w:val="20"/>
        </w:rPr>
      </w:pPr>
      <w:r w:rsidRPr="0001291E">
        <w:rPr>
          <w:sz w:val="20"/>
          <w:szCs w:val="20"/>
        </w:rPr>
        <w:t>Sample</w:t>
      </w:r>
      <w:r w:rsidRPr="0001291E">
        <w:rPr>
          <w:spacing w:val="-4"/>
          <w:sz w:val="20"/>
          <w:szCs w:val="20"/>
        </w:rPr>
        <w:t xml:space="preserve"> </w:t>
      </w:r>
      <w:r w:rsidRPr="0001291E">
        <w:rPr>
          <w:sz w:val="20"/>
          <w:szCs w:val="20"/>
        </w:rPr>
        <w:t>and</w:t>
      </w:r>
      <w:r w:rsidRPr="0001291E">
        <w:rPr>
          <w:spacing w:val="-1"/>
          <w:sz w:val="20"/>
          <w:szCs w:val="20"/>
        </w:rPr>
        <w:t xml:space="preserve"> </w:t>
      </w:r>
      <w:r w:rsidRPr="0001291E">
        <w:rPr>
          <w:sz w:val="20"/>
          <w:szCs w:val="20"/>
        </w:rPr>
        <w:t>Sampling</w:t>
      </w:r>
      <w:r w:rsidRPr="0001291E">
        <w:rPr>
          <w:spacing w:val="-1"/>
          <w:sz w:val="20"/>
          <w:szCs w:val="20"/>
        </w:rPr>
        <w:t xml:space="preserve"> </w:t>
      </w:r>
      <w:r w:rsidRPr="0001291E">
        <w:rPr>
          <w:spacing w:val="-2"/>
          <w:sz w:val="20"/>
          <w:szCs w:val="20"/>
        </w:rPr>
        <w:t>Method</w:t>
      </w:r>
      <w:r w:rsidRPr="0001291E">
        <w:rPr>
          <w:b w:val="0"/>
          <w:spacing w:val="-2"/>
          <w:sz w:val="20"/>
          <w:szCs w:val="20"/>
        </w:rPr>
        <w:t>:</w:t>
      </w:r>
    </w:p>
    <w:p w14:paraId="0DDB9057" w14:textId="77777777" w:rsidR="002D42C2" w:rsidRPr="0001291E" w:rsidRDefault="009B3576" w:rsidP="00475FA2">
      <w:pPr>
        <w:pStyle w:val="ListParagraph"/>
        <w:numPr>
          <w:ilvl w:val="3"/>
          <w:numId w:val="2"/>
        </w:numPr>
        <w:tabs>
          <w:tab w:val="left" w:pos="2161"/>
        </w:tabs>
        <w:spacing w:before="120" w:line="276" w:lineRule="auto"/>
        <w:ind w:left="360"/>
        <w:rPr>
          <w:sz w:val="20"/>
          <w:szCs w:val="20"/>
        </w:rPr>
      </w:pPr>
      <w:r w:rsidRPr="0001291E">
        <w:rPr>
          <w:b/>
          <w:sz w:val="20"/>
          <w:szCs w:val="20"/>
        </w:rPr>
        <w:t>Sample Size</w:t>
      </w:r>
      <w:r w:rsidRPr="0001291E">
        <w:rPr>
          <w:sz w:val="20"/>
          <w:szCs w:val="20"/>
        </w:rPr>
        <w:t>: A total of 200 individual investors, representing various demographics (e.g., age, income level, education, and investment experience), participated in the survey. This sample size was chosen to ensure sufficient statistical power and reliability of the findings.</w:t>
      </w:r>
    </w:p>
    <w:p w14:paraId="3B3D0C55" w14:textId="73190764" w:rsidR="002D42C2" w:rsidRPr="0001291E" w:rsidRDefault="009B3576" w:rsidP="00475FA2">
      <w:pPr>
        <w:pStyle w:val="ListParagraph"/>
        <w:numPr>
          <w:ilvl w:val="3"/>
          <w:numId w:val="2"/>
        </w:numPr>
        <w:tabs>
          <w:tab w:val="left" w:pos="2161"/>
        </w:tabs>
        <w:spacing w:before="120" w:line="276" w:lineRule="auto"/>
        <w:ind w:left="360"/>
        <w:rPr>
          <w:sz w:val="20"/>
          <w:szCs w:val="20"/>
        </w:rPr>
      </w:pPr>
      <w:r w:rsidRPr="0001291E">
        <w:rPr>
          <w:b/>
          <w:sz w:val="20"/>
          <w:szCs w:val="20"/>
        </w:rPr>
        <w:t>Sampling Technique</w:t>
      </w:r>
      <w:r w:rsidRPr="0001291E">
        <w:rPr>
          <w:sz w:val="20"/>
          <w:szCs w:val="20"/>
        </w:rPr>
        <w:t>: A stratified random</w:t>
      </w:r>
      <w:r w:rsidRPr="0001291E">
        <w:rPr>
          <w:spacing w:val="-11"/>
          <w:sz w:val="20"/>
          <w:szCs w:val="20"/>
        </w:rPr>
        <w:t xml:space="preserve"> </w:t>
      </w:r>
      <w:r w:rsidRPr="0001291E">
        <w:rPr>
          <w:sz w:val="20"/>
          <w:szCs w:val="20"/>
        </w:rPr>
        <w:t>sampling</w:t>
      </w:r>
      <w:r w:rsidRPr="0001291E">
        <w:rPr>
          <w:spacing w:val="-10"/>
          <w:sz w:val="20"/>
          <w:szCs w:val="20"/>
        </w:rPr>
        <w:t xml:space="preserve"> </w:t>
      </w:r>
      <w:r w:rsidRPr="0001291E">
        <w:rPr>
          <w:sz w:val="20"/>
          <w:szCs w:val="20"/>
        </w:rPr>
        <w:t>technique</w:t>
      </w:r>
      <w:r w:rsidRPr="0001291E">
        <w:rPr>
          <w:spacing w:val="-11"/>
          <w:sz w:val="20"/>
          <w:szCs w:val="20"/>
        </w:rPr>
        <w:t xml:space="preserve"> </w:t>
      </w:r>
      <w:r w:rsidRPr="0001291E">
        <w:rPr>
          <w:sz w:val="20"/>
          <w:szCs w:val="20"/>
        </w:rPr>
        <w:t>was</w:t>
      </w:r>
      <w:r w:rsidRPr="0001291E">
        <w:rPr>
          <w:spacing w:val="-9"/>
          <w:sz w:val="20"/>
          <w:szCs w:val="20"/>
        </w:rPr>
        <w:t xml:space="preserve"> </w:t>
      </w:r>
      <w:r w:rsidRPr="0001291E">
        <w:rPr>
          <w:sz w:val="20"/>
          <w:szCs w:val="20"/>
        </w:rPr>
        <w:t>used to ensure that the sample reflects aroad range of individual investors. This includes different segments based</w:t>
      </w:r>
      <w:r w:rsidRPr="0001291E">
        <w:rPr>
          <w:spacing w:val="-15"/>
          <w:sz w:val="20"/>
          <w:szCs w:val="20"/>
        </w:rPr>
        <w:t xml:space="preserve"> </w:t>
      </w:r>
      <w:r w:rsidRPr="0001291E">
        <w:rPr>
          <w:sz w:val="20"/>
          <w:szCs w:val="20"/>
        </w:rPr>
        <w:t>on</w:t>
      </w:r>
      <w:r w:rsidRPr="0001291E">
        <w:rPr>
          <w:spacing w:val="-15"/>
          <w:sz w:val="20"/>
          <w:szCs w:val="20"/>
        </w:rPr>
        <w:t xml:space="preserve"> </w:t>
      </w:r>
      <w:r w:rsidRPr="0001291E">
        <w:rPr>
          <w:sz w:val="20"/>
          <w:szCs w:val="20"/>
        </w:rPr>
        <w:t>demographic</w:t>
      </w:r>
      <w:r w:rsidRPr="0001291E">
        <w:rPr>
          <w:spacing w:val="-15"/>
          <w:sz w:val="20"/>
          <w:szCs w:val="20"/>
        </w:rPr>
        <w:t xml:space="preserve"> </w:t>
      </w:r>
      <w:r w:rsidRPr="0001291E">
        <w:rPr>
          <w:sz w:val="20"/>
          <w:szCs w:val="20"/>
        </w:rPr>
        <w:t>factors</w:t>
      </w:r>
      <w:r w:rsidRPr="0001291E">
        <w:rPr>
          <w:spacing w:val="-13"/>
          <w:sz w:val="20"/>
          <w:szCs w:val="20"/>
        </w:rPr>
        <w:t xml:space="preserve"> </w:t>
      </w:r>
      <w:r w:rsidRPr="0001291E">
        <w:rPr>
          <w:sz w:val="20"/>
          <w:szCs w:val="20"/>
        </w:rPr>
        <w:t>such</w:t>
      </w:r>
      <w:r w:rsidRPr="0001291E">
        <w:rPr>
          <w:spacing w:val="-15"/>
          <w:sz w:val="20"/>
          <w:szCs w:val="20"/>
        </w:rPr>
        <w:t xml:space="preserve"> </w:t>
      </w:r>
      <w:r w:rsidRPr="0001291E">
        <w:rPr>
          <w:sz w:val="20"/>
          <w:szCs w:val="20"/>
        </w:rPr>
        <w:t>as age, income level, education, and familiarity</w:t>
      </w:r>
      <w:r w:rsidRPr="0001291E">
        <w:rPr>
          <w:spacing w:val="-14"/>
          <w:sz w:val="20"/>
          <w:szCs w:val="20"/>
        </w:rPr>
        <w:t xml:space="preserve"> </w:t>
      </w:r>
      <w:r w:rsidRPr="0001291E">
        <w:rPr>
          <w:sz w:val="20"/>
          <w:szCs w:val="20"/>
        </w:rPr>
        <w:t>with</w:t>
      </w:r>
      <w:r w:rsidRPr="0001291E">
        <w:rPr>
          <w:spacing w:val="-14"/>
          <w:sz w:val="20"/>
          <w:szCs w:val="20"/>
        </w:rPr>
        <w:t xml:space="preserve"> </w:t>
      </w:r>
      <w:r w:rsidRPr="0001291E">
        <w:rPr>
          <w:sz w:val="20"/>
          <w:szCs w:val="20"/>
        </w:rPr>
        <w:t>sustainable</w:t>
      </w:r>
      <w:r w:rsidRPr="0001291E">
        <w:rPr>
          <w:spacing w:val="-12"/>
          <w:sz w:val="20"/>
          <w:szCs w:val="20"/>
        </w:rPr>
        <w:t xml:space="preserve"> </w:t>
      </w:r>
      <w:r w:rsidRPr="0001291E">
        <w:rPr>
          <w:spacing w:val="-2"/>
          <w:sz w:val="20"/>
          <w:szCs w:val="20"/>
        </w:rPr>
        <w:t>investing.</w:t>
      </w:r>
    </w:p>
    <w:p w14:paraId="300EF198" w14:textId="77777777" w:rsidR="002D42C2" w:rsidRPr="0001291E" w:rsidRDefault="009B3576" w:rsidP="00475FA2">
      <w:pPr>
        <w:pStyle w:val="ListParagraph"/>
        <w:numPr>
          <w:ilvl w:val="3"/>
          <w:numId w:val="2"/>
        </w:numPr>
        <w:tabs>
          <w:tab w:val="left" w:pos="2161"/>
        </w:tabs>
        <w:spacing w:before="120" w:line="276" w:lineRule="auto"/>
        <w:ind w:left="360"/>
        <w:rPr>
          <w:sz w:val="20"/>
          <w:szCs w:val="20"/>
        </w:rPr>
      </w:pPr>
      <w:r w:rsidRPr="0001291E">
        <w:rPr>
          <w:b/>
          <w:sz w:val="20"/>
          <w:szCs w:val="20"/>
        </w:rPr>
        <w:t>Inclusion</w:t>
      </w:r>
      <w:r w:rsidRPr="0001291E">
        <w:rPr>
          <w:b/>
          <w:spacing w:val="-15"/>
          <w:sz w:val="20"/>
          <w:szCs w:val="20"/>
        </w:rPr>
        <w:t xml:space="preserve"> </w:t>
      </w:r>
      <w:r w:rsidRPr="0001291E">
        <w:rPr>
          <w:b/>
          <w:sz w:val="20"/>
          <w:szCs w:val="20"/>
        </w:rPr>
        <w:t>Criteria</w:t>
      </w:r>
      <w:r w:rsidRPr="0001291E">
        <w:rPr>
          <w:sz w:val="20"/>
          <w:szCs w:val="20"/>
        </w:rPr>
        <w:t>:</w:t>
      </w:r>
      <w:r w:rsidRPr="0001291E">
        <w:rPr>
          <w:spacing w:val="-15"/>
          <w:sz w:val="20"/>
          <w:szCs w:val="20"/>
        </w:rPr>
        <w:t xml:space="preserve"> </w:t>
      </w:r>
      <w:r w:rsidRPr="0001291E">
        <w:rPr>
          <w:sz w:val="20"/>
          <w:szCs w:val="20"/>
        </w:rPr>
        <w:t>Participants</w:t>
      </w:r>
      <w:r w:rsidRPr="0001291E">
        <w:rPr>
          <w:spacing w:val="-15"/>
          <w:sz w:val="20"/>
          <w:szCs w:val="20"/>
        </w:rPr>
        <w:t xml:space="preserve"> </w:t>
      </w:r>
      <w:r w:rsidRPr="0001291E">
        <w:rPr>
          <w:sz w:val="20"/>
          <w:szCs w:val="20"/>
        </w:rPr>
        <w:t>must have prior experience making personal investments and possess at least a basic understanding of ESG factors. Only individuals who actively engage in investment decision-making</w:t>
      </w:r>
      <w:r w:rsidRPr="0001291E">
        <w:rPr>
          <w:spacing w:val="-15"/>
          <w:sz w:val="20"/>
          <w:szCs w:val="20"/>
        </w:rPr>
        <w:t xml:space="preserve"> </w:t>
      </w:r>
      <w:r w:rsidRPr="0001291E">
        <w:rPr>
          <w:sz w:val="20"/>
          <w:szCs w:val="20"/>
        </w:rPr>
        <w:t>were</w:t>
      </w:r>
      <w:r w:rsidRPr="0001291E">
        <w:rPr>
          <w:spacing w:val="-15"/>
          <w:sz w:val="20"/>
          <w:szCs w:val="20"/>
        </w:rPr>
        <w:t xml:space="preserve"> </w:t>
      </w:r>
      <w:r w:rsidRPr="0001291E">
        <w:rPr>
          <w:sz w:val="20"/>
          <w:szCs w:val="20"/>
        </w:rPr>
        <w:t>included</w:t>
      </w:r>
      <w:r w:rsidRPr="0001291E">
        <w:rPr>
          <w:spacing w:val="-13"/>
          <w:sz w:val="20"/>
          <w:szCs w:val="20"/>
        </w:rPr>
        <w:t xml:space="preserve"> </w:t>
      </w:r>
      <w:r w:rsidRPr="0001291E">
        <w:rPr>
          <w:sz w:val="20"/>
          <w:szCs w:val="20"/>
        </w:rPr>
        <w:t>in</w:t>
      </w:r>
      <w:r w:rsidRPr="0001291E">
        <w:rPr>
          <w:spacing w:val="-11"/>
          <w:sz w:val="20"/>
          <w:szCs w:val="20"/>
        </w:rPr>
        <w:t xml:space="preserve"> </w:t>
      </w:r>
      <w:r w:rsidRPr="0001291E">
        <w:rPr>
          <w:sz w:val="20"/>
          <w:szCs w:val="20"/>
        </w:rPr>
        <w:t xml:space="preserve">the </w:t>
      </w:r>
      <w:r w:rsidRPr="0001291E">
        <w:rPr>
          <w:spacing w:val="-2"/>
          <w:sz w:val="20"/>
          <w:szCs w:val="20"/>
        </w:rPr>
        <w:t>study.</w:t>
      </w:r>
    </w:p>
    <w:p w14:paraId="48573075" w14:textId="62E66797" w:rsidR="002D42C2" w:rsidRPr="0001291E" w:rsidRDefault="009B3576" w:rsidP="00475FA2">
      <w:pPr>
        <w:pStyle w:val="ListParagraph"/>
        <w:numPr>
          <w:ilvl w:val="3"/>
          <w:numId w:val="2"/>
        </w:numPr>
        <w:tabs>
          <w:tab w:val="left" w:pos="2161"/>
        </w:tabs>
        <w:spacing w:before="120" w:line="276" w:lineRule="auto"/>
        <w:ind w:left="360"/>
        <w:rPr>
          <w:sz w:val="20"/>
          <w:szCs w:val="20"/>
        </w:rPr>
      </w:pPr>
      <w:r w:rsidRPr="0001291E">
        <w:rPr>
          <w:b/>
          <w:sz w:val="20"/>
          <w:szCs w:val="20"/>
        </w:rPr>
        <w:t>Exclusion Criteria</w:t>
      </w:r>
      <w:r w:rsidRPr="0001291E">
        <w:rPr>
          <w:sz w:val="20"/>
          <w:szCs w:val="20"/>
        </w:rPr>
        <w:t>: Investors who have</w:t>
      </w:r>
      <w:r w:rsidRPr="0001291E">
        <w:rPr>
          <w:spacing w:val="26"/>
          <w:sz w:val="20"/>
          <w:szCs w:val="20"/>
        </w:rPr>
        <w:t xml:space="preserve"> </w:t>
      </w:r>
      <w:r w:rsidRPr="0001291E">
        <w:rPr>
          <w:sz w:val="20"/>
          <w:szCs w:val="20"/>
        </w:rPr>
        <w:t>little</w:t>
      </w:r>
      <w:r w:rsidRPr="0001291E">
        <w:rPr>
          <w:spacing w:val="26"/>
          <w:sz w:val="20"/>
          <w:szCs w:val="20"/>
        </w:rPr>
        <w:t xml:space="preserve"> </w:t>
      </w:r>
      <w:r w:rsidRPr="0001291E">
        <w:rPr>
          <w:sz w:val="20"/>
          <w:szCs w:val="20"/>
        </w:rPr>
        <w:t>or</w:t>
      </w:r>
      <w:r w:rsidRPr="0001291E">
        <w:rPr>
          <w:spacing w:val="27"/>
          <w:sz w:val="20"/>
          <w:szCs w:val="20"/>
        </w:rPr>
        <w:t xml:space="preserve"> </w:t>
      </w:r>
      <w:r w:rsidRPr="0001291E">
        <w:rPr>
          <w:sz w:val="20"/>
          <w:szCs w:val="20"/>
        </w:rPr>
        <w:t>no</w:t>
      </w:r>
      <w:r w:rsidRPr="0001291E">
        <w:rPr>
          <w:spacing w:val="27"/>
          <w:sz w:val="20"/>
          <w:szCs w:val="20"/>
        </w:rPr>
        <w:t xml:space="preserve"> </w:t>
      </w:r>
      <w:r w:rsidRPr="0001291E">
        <w:rPr>
          <w:sz w:val="20"/>
          <w:szCs w:val="20"/>
        </w:rPr>
        <w:t>knowledge</w:t>
      </w:r>
      <w:r w:rsidRPr="0001291E">
        <w:rPr>
          <w:spacing w:val="26"/>
          <w:sz w:val="20"/>
          <w:szCs w:val="20"/>
        </w:rPr>
        <w:t xml:space="preserve"> </w:t>
      </w:r>
      <w:r w:rsidRPr="0001291E">
        <w:rPr>
          <w:sz w:val="20"/>
          <w:szCs w:val="20"/>
        </w:rPr>
        <w:t>of</w:t>
      </w:r>
      <w:r w:rsidRPr="0001291E">
        <w:rPr>
          <w:spacing w:val="27"/>
          <w:sz w:val="20"/>
          <w:szCs w:val="20"/>
        </w:rPr>
        <w:t xml:space="preserve"> </w:t>
      </w:r>
      <w:r w:rsidRPr="0001291E">
        <w:rPr>
          <w:sz w:val="20"/>
          <w:szCs w:val="20"/>
        </w:rPr>
        <w:t>ESG</w:t>
      </w:r>
    </w:p>
    <w:p w14:paraId="53EAC2FB" w14:textId="77777777" w:rsidR="002D42C2" w:rsidRPr="0001291E" w:rsidRDefault="009B3576" w:rsidP="00475FA2">
      <w:pPr>
        <w:pStyle w:val="BodyText"/>
        <w:spacing w:before="120" w:line="276" w:lineRule="auto"/>
        <w:jc w:val="both"/>
        <w:rPr>
          <w:sz w:val="20"/>
          <w:szCs w:val="20"/>
        </w:rPr>
      </w:pPr>
      <w:r w:rsidRPr="0001291E">
        <w:rPr>
          <w:sz w:val="20"/>
          <w:szCs w:val="20"/>
        </w:rPr>
        <w:t>factors or who have not made any personal investments were excluded to ensure the relevance of the study.</w:t>
      </w:r>
    </w:p>
    <w:p w14:paraId="70470626" w14:textId="77777777" w:rsidR="002D42C2" w:rsidRPr="0001291E" w:rsidRDefault="009B3576" w:rsidP="00475FA2">
      <w:pPr>
        <w:pStyle w:val="Heading3"/>
        <w:numPr>
          <w:ilvl w:val="0"/>
          <w:numId w:val="1"/>
        </w:numPr>
        <w:tabs>
          <w:tab w:val="left" w:pos="1400"/>
        </w:tabs>
        <w:spacing w:before="120" w:line="276" w:lineRule="auto"/>
        <w:ind w:left="358" w:hanging="358"/>
        <w:jc w:val="both"/>
        <w:rPr>
          <w:b w:val="0"/>
          <w:sz w:val="20"/>
          <w:szCs w:val="20"/>
        </w:rPr>
      </w:pPr>
      <w:r w:rsidRPr="0001291E">
        <w:rPr>
          <w:sz w:val="20"/>
          <w:szCs w:val="20"/>
        </w:rPr>
        <w:t>Data</w:t>
      </w:r>
      <w:r w:rsidRPr="0001291E">
        <w:rPr>
          <w:spacing w:val="-14"/>
          <w:sz w:val="20"/>
          <w:szCs w:val="20"/>
        </w:rPr>
        <w:t xml:space="preserve"> </w:t>
      </w:r>
      <w:r w:rsidRPr="0001291E">
        <w:rPr>
          <w:spacing w:val="-2"/>
          <w:sz w:val="20"/>
          <w:szCs w:val="20"/>
        </w:rPr>
        <w:t>Analysis</w:t>
      </w:r>
      <w:r w:rsidRPr="0001291E">
        <w:rPr>
          <w:b w:val="0"/>
          <w:spacing w:val="-2"/>
          <w:sz w:val="20"/>
          <w:szCs w:val="20"/>
        </w:rPr>
        <w:t>:</w:t>
      </w:r>
    </w:p>
    <w:p w14:paraId="6A27FF7B" w14:textId="0D888644" w:rsidR="00D02AC4" w:rsidRPr="00AD3460" w:rsidRDefault="009B3576" w:rsidP="00475FA2">
      <w:pPr>
        <w:pStyle w:val="ListParagraph"/>
        <w:numPr>
          <w:ilvl w:val="2"/>
          <w:numId w:val="2"/>
        </w:numPr>
        <w:tabs>
          <w:tab w:val="left" w:pos="1402"/>
        </w:tabs>
        <w:spacing w:before="120" w:line="276" w:lineRule="auto"/>
        <w:ind w:left="360"/>
        <w:rPr>
          <w:sz w:val="20"/>
          <w:szCs w:val="20"/>
        </w:rPr>
      </w:pPr>
      <w:r w:rsidRPr="0001291E">
        <w:rPr>
          <w:b/>
          <w:sz w:val="20"/>
          <w:szCs w:val="20"/>
        </w:rPr>
        <w:t>Quantitative Analysis</w:t>
      </w:r>
      <w:r w:rsidRPr="0001291E">
        <w:rPr>
          <w:sz w:val="20"/>
          <w:szCs w:val="20"/>
        </w:rPr>
        <w:t>: Descriptive and inferential statistical techniques were</w:t>
      </w:r>
      <w:r w:rsidRPr="0001291E">
        <w:rPr>
          <w:spacing w:val="-1"/>
          <w:sz w:val="20"/>
          <w:szCs w:val="20"/>
        </w:rPr>
        <w:t xml:space="preserve"> </w:t>
      </w:r>
      <w:r w:rsidRPr="0001291E">
        <w:rPr>
          <w:sz w:val="20"/>
          <w:szCs w:val="20"/>
        </w:rPr>
        <w:t>employed to analyze</w:t>
      </w:r>
      <w:r w:rsidRPr="0001291E">
        <w:rPr>
          <w:spacing w:val="-1"/>
          <w:sz w:val="20"/>
          <w:szCs w:val="20"/>
        </w:rPr>
        <w:t xml:space="preserve"> </w:t>
      </w:r>
      <w:r w:rsidRPr="0001291E">
        <w:rPr>
          <w:sz w:val="20"/>
          <w:szCs w:val="20"/>
        </w:rPr>
        <w:t>the</w:t>
      </w:r>
      <w:r w:rsidRPr="0001291E">
        <w:rPr>
          <w:spacing w:val="-1"/>
          <w:sz w:val="20"/>
          <w:szCs w:val="20"/>
        </w:rPr>
        <w:t xml:space="preserve"> </w:t>
      </w:r>
      <w:r w:rsidRPr="0001291E">
        <w:rPr>
          <w:sz w:val="20"/>
          <w:szCs w:val="20"/>
        </w:rPr>
        <w:t>survey responses. Tools such as SPSS and Excel were used.</w:t>
      </w:r>
      <w:r w:rsidR="00D02AC4" w:rsidRPr="00AD3460">
        <w:rPr>
          <w:b/>
          <w:sz w:val="20"/>
          <w:szCs w:val="20"/>
        </w:rPr>
        <w:t xml:space="preserve">                               </w:t>
      </w:r>
    </w:p>
    <w:p w14:paraId="561AC5BA" w14:textId="77777777" w:rsidR="00475FA2" w:rsidRDefault="00475FA2" w:rsidP="00475FA2">
      <w:pPr>
        <w:pStyle w:val="BodyText"/>
        <w:spacing w:before="120" w:line="276" w:lineRule="auto"/>
        <w:jc w:val="center"/>
        <w:rPr>
          <w:b/>
          <w:bCs/>
          <w:sz w:val="20"/>
          <w:szCs w:val="20"/>
        </w:rPr>
        <w:sectPr w:rsidR="00475FA2" w:rsidSect="00226373">
          <w:type w:val="continuous"/>
          <w:pgSz w:w="12240" w:h="15840" w:code="1"/>
          <w:pgMar w:top="1440" w:right="1440" w:bottom="1440" w:left="1440" w:header="706" w:footer="706" w:gutter="0"/>
          <w:pgNumType w:start="666"/>
          <w:cols w:num="2" w:space="720"/>
          <w:docGrid w:linePitch="299"/>
        </w:sectPr>
      </w:pPr>
    </w:p>
    <w:p w14:paraId="45D40539" w14:textId="37D29848" w:rsidR="002D42C2" w:rsidRPr="0001291E" w:rsidRDefault="00D02AC4" w:rsidP="00475FA2">
      <w:pPr>
        <w:pStyle w:val="BodyText"/>
        <w:spacing w:before="120" w:line="276" w:lineRule="auto"/>
        <w:jc w:val="center"/>
        <w:rPr>
          <w:b/>
          <w:bCs/>
          <w:sz w:val="20"/>
          <w:szCs w:val="20"/>
        </w:rPr>
      </w:pPr>
      <w:r w:rsidRPr="0001291E">
        <w:rPr>
          <w:b/>
          <w:bCs/>
          <w:sz w:val="20"/>
          <w:szCs w:val="20"/>
        </w:rPr>
        <w:t>How long you have been investing?</w:t>
      </w:r>
    </w:p>
    <w:tbl>
      <w:tblPr>
        <w:tblStyle w:val="TableGrid"/>
        <w:tblW w:w="0" w:type="auto"/>
        <w:jc w:val="center"/>
        <w:tblLayout w:type="fixed"/>
        <w:tblLook w:val="01E0" w:firstRow="1" w:lastRow="1" w:firstColumn="1" w:lastColumn="1" w:noHBand="0" w:noVBand="0"/>
      </w:tblPr>
      <w:tblGrid>
        <w:gridCol w:w="816"/>
        <w:gridCol w:w="2329"/>
        <w:gridCol w:w="831"/>
        <w:gridCol w:w="1118"/>
        <w:gridCol w:w="1423"/>
        <w:gridCol w:w="1623"/>
      </w:tblGrid>
      <w:tr w:rsidR="00D02AC4" w:rsidRPr="0001291E" w14:paraId="50FA286D" w14:textId="77777777" w:rsidTr="00493138">
        <w:trPr>
          <w:trHeight w:val="71"/>
          <w:jc w:val="center"/>
        </w:trPr>
        <w:tc>
          <w:tcPr>
            <w:tcW w:w="816" w:type="dxa"/>
            <w:vMerge w:val="restart"/>
          </w:tcPr>
          <w:p w14:paraId="6F9EB66D" w14:textId="77777777" w:rsidR="00D02AC4" w:rsidRPr="0001291E" w:rsidRDefault="00D02AC4" w:rsidP="00475FA2">
            <w:pPr>
              <w:pStyle w:val="TableParagraph"/>
              <w:contextualSpacing/>
              <w:jc w:val="both"/>
              <w:rPr>
                <w:sz w:val="20"/>
                <w:szCs w:val="20"/>
              </w:rPr>
            </w:pPr>
          </w:p>
          <w:p w14:paraId="36C978AC" w14:textId="77777777" w:rsidR="00D02AC4" w:rsidRPr="0001291E" w:rsidRDefault="00D02AC4" w:rsidP="00475FA2">
            <w:pPr>
              <w:pStyle w:val="TableParagraph"/>
              <w:contextualSpacing/>
              <w:jc w:val="both"/>
              <w:rPr>
                <w:sz w:val="20"/>
                <w:szCs w:val="20"/>
              </w:rPr>
            </w:pPr>
            <w:r w:rsidRPr="0001291E">
              <w:rPr>
                <w:spacing w:val="-10"/>
                <w:sz w:val="20"/>
                <w:szCs w:val="20"/>
              </w:rPr>
              <w:t xml:space="preserve">Val </w:t>
            </w:r>
            <w:r w:rsidRPr="0001291E">
              <w:rPr>
                <w:spacing w:val="-6"/>
                <w:sz w:val="20"/>
                <w:szCs w:val="20"/>
              </w:rPr>
              <w:t>id</w:t>
            </w:r>
          </w:p>
        </w:tc>
        <w:tc>
          <w:tcPr>
            <w:tcW w:w="2329" w:type="dxa"/>
          </w:tcPr>
          <w:p w14:paraId="7B52B4B8" w14:textId="4E71925A" w:rsidR="00D02AC4" w:rsidRPr="0001291E" w:rsidRDefault="00D02AC4" w:rsidP="00493138">
            <w:pPr>
              <w:pStyle w:val="TableParagraph"/>
              <w:contextualSpacing/>
              <w:jc w:val="both"/>
              <w:rPr>
                <w:sz w:val="20"/>
                <w:szCs w:val="20"/>
              </w:rPr>
            </w:pPr>
            <w:r w:rsidRPr="0001291E">
              <w:rPr>
                <w:sz w:val="20"/>
                <w:szCs w:val="20"/>
              </w:rPr>
              <w:t>Less</w:t>
            </w:r>
            <w:r w:rsidRPr="0001291E">
              <w:rPr>
                <w:spacing w:val="-2"/>
                <w:sz w:val="20"/>
                <w:szCs w:val="20"/>
              </w:rPr>
              <w:t xml:space="preserve"> </w:t>
            </w:r>
            <w:r w:rsidRPr="0001291E">
              <w:rPr>
                <w:sz w:val="20"/>
                <w:szCs w:val="20"/>
              </w:rPr>
              <w:t>than</w:t>
            </w:r>
            <w:r w:rsidRPr="0001291E">
              <w:rPr>
                <w:spacing w:val="1"/>
                <w:sz w:val="20"/>
                <w:szCs w:val="20"/>
              </w:rPr>
              <w:t xml:space="preserve"> </w:t>
            </w:r>
            <w:r w:rsidRPr="0001291E">
              <w:rPr>
                <w:spacing w:val="-10"/>
                <w:sz w:val="20"/>
                <w:szCs w:val="20"/>
              </w:rPr>
              <w:t>1</w:t>
            </w:r>
            <w:r w:rsidR="00493138">
              <w:rPr>
                <w:spacing w:val="-10"/>
                <w:sz w:val="20"/>
                <w:szCs w:val="20"/>
              </w:rPr>
              <w:t xml:space="preserve"> </w:t>
            </w:r>
            <w:r w:rsidRPr="0001291E">
              <w:rPr>
                <w:spacing w:val="-4"/>
                <w:sz w:val="20"/>
                <w:szCs w:val="20"/>
              </w:rPr>
              <w:t>Year</w:t>
            </w:r>
          </w:p>
        </w:tc>
        <w:tc>
          <w:tcPr>
            <w:tcW w:w="831" w:type="dxa"/>
          </w:tcPr>
          <w:p w14:paraId="2EEC03C9" w14:textId="77777777" w:rsidR="00D02AC4" w:rsidRPr="0001291E" w:rsidRDefault="00D02AC4" w:rsidP="00475FA2">
            <w:pPr>
              <w:pStyle w:val="TableParagraph"/>
              <w:contextualSpacing/>
              <w:jc w:val="both"/>
              <w:rPr>
                <w:sz w:val="20"/>
                <w:szCs w:val="20"/>
              </w:rPr>
            </w:pPr>
            <w:r w:rsidRPr="0001291E">
              <w:rPr>
                <w:color w:val="000104"/>
                <w:spacing w:val="-5"/>
                <w:sz w:val="20"/>
                <w:szCs w:val="20"/>
              </w:rPr>
              <w:t>124</w:t>
            </w:r>
          </w:p>
        </w:tc>
        <w:tc>
          <w:tcPr>
            <w:tcW w:w="1118" w:type="dxa"/>
          </w:tcPr>
          <w:p w14:paraId="2F5A031F" w14:textId="77777777" w:rsidR="00D02AC4" w:rsidRPr="0001291E" w:rsidRDefault="00D02AC4" w:rsidP="00475FA2">
            <w:pPr>
              <w:pStyle w:val="TableParagraph"/>
              <w:contextualSpacing/>
              <w:jc w:val="both"/>
              <w:rPr>
                <w:sz w:val="20"/>
                <w:szCs w:val="20"/>
              </w:rPr>
            </w:pPr>
            <w:r w:rsidRPr="0001291E">
              <w:rPr>
                <w:color w:val="000104"/>
                <w:spacing w:val="-4"/>
                <w:sz w:val="20"/>
                <w:szCs w:val="20"/>
              </w:rPr>
              <w:t>62.0</w:t>
            </w:r>
          </w:p>
        </w:tc>
        <w:tc>
          <w:tcPr>
            <w:tcW w:w="1423" w:type="dxa"/>
          </w:tcPr>
          <w:p w14:paraId="2B369295" w14:textId="77777777" w:rsidR="00D02AC4" w:rsidRPr="0001291E" w:rsidRDefault="00D02AC4" w:rsidP="00475FA2">
            <w:pPr>
              <w:pStyle w:val="TableParagraph"/>
              <w:contextualSpacing/>
              <w:jc w:val="both"/>
              <w:rPr>
                <w:sz w:val="20"/>
                <w:szCs w:val="20"/>
              </w:rPr>
            </w:pPr>
            <w:r w:rsidRPr="0001291E">
              <w:rPr>
                <w:color w:val="000104"/>
                <w:spacing w:val="-4"/>
                <w:sz w:val="20"/>
                <w:szCs w:val="20"/>
              </w:rPr>
              <w:t>62.0</w:t>
            </w:r>
          </w:p>
        </w:tc>
        <w:tc>
          <w:tcPr>
            <w:tcW w:w="1623" w:type="dxa"/>
          </w:tcPr>
          <w:p w14:paraId="67A21B32" w14:textId="77777777" w:rsidR="00D02AC4" w:rsidRPr="0001291E" w:rsidRDefault="00D02AC4" w:rsidP="00475FA2">
            <w:pPr>
              <w:pStyle w:val="TableParagraph"/>
              <w:contextualSpacing/>
              <w:jc w:val="both"/>
              <w:rPr>
                <w:sz w:val="20"/>
                <w:szCs w:val="20"/>
              </w:rPr>
            </w:pPr>
            <w:r w:rsidRPr="0001291E">
              <w:rPr>
                <w:color w:val="000104"/>
                <w:spacing w:val="-4"/>
                <w:sz w:val="20"/>
                <w:szCs w:val="20"/>
              </w:rPr>
              <w:t>62.0</w:t>
            </w:r>
          </w:p>
        </w:tc>
      </w:tr>
      <w:tr w:rsidR="00D02AC4" w:rsidRPr="0001291E" w14:paraId="6C288506" w14:textId="77777777" w:rsidTr="00493138">
        <w:trPr>
          <w:trHeight w:val="257"/>
          <w:jc w:val="center"/>
        </w:trPr>
        <w:tc>
          <w:tcPr>
            <w:tcW w:w="816" w:type="dxa"/>
            <w:vMerge/>
          </w:tcPr>
          <w:p w14:paraId="27EDC094" w14:textId="77777777" w:rsidR="00D02AC4" w:rsidRPr="0001291E" w:rsidRDefault="00D02AC4" w:rsidP="00475FA2">
            <w:pPr>
              <w:contextualSpacing/>
              <w:jc w:val="both"/>
              <w:rPr>
                <w:sz w:val="20"/>
                <w:szCs w:val="20"/>
              </w:rPr>
            </w:pPr>
          </w:p>
        </w:tc>
        <w:tc>
          <w:tcPr>
            <w:tcW w:w="2329" w:type="dxa"/>
          </w:tcPr>
          <w:p w14:paraId="6701C594" w14:textId="77777777" w:rsidR="00D02AC4" w:rsidRPr="0001291E" w:rsidRDefault="00D02AC4" w:rsidP="00475FA2">
            <w:pPr>
              <w:pStyle w:val="TableParagraph"/>
              <w:contextualSpacing/>
              <w:jc w:val="both"/>
              <w:rPr>
                <w:sz w:val="20"/>
                <w:szCs w:val="20"/>
              </w:rPr>
            </w:pPr>
            <w:r w:rsidRPr="0001291E">
              <w:rPr>
                <w:sz w:val="20"/>
                <w:szCs w:val="20"/>
              </w:rPr>
              <w:t>1-5</w:t>
            </w:r>
            <w:r w:rsidRPr="0001291E">
              <w:rPr>
                <w:spacing w:val="-9"/>
                <w:sz w:val="20"/>
                <w:szCs w:val="20"/>
              </w:rPr>
              <w:t xml:space="preserve"> </w:t>
            </w:r>
            <w:r w:rsidRPr="0001291E">
              <w:rPr>
                <w:spacing w:val="-2"/>
                <w:sz w:val="20"/>
                <w:szCs w:val="20"/>
              </w:rPr>
              <w:t>Years</w:t>
            </w:r>
          </w:p>
        </w:tc>
        <w:tc>
          <w:tcPr>
            <w:tcW w:w="831" w:type="dxa"/>
          </w:tcPr>
          <w:p w14:paraId="4A05BA79" w14:textId="77777777" w:rsidR="00D02AC4" w:rsidRPr="0001291E" w:rsidRDefault="00D02AC4" w:rsidP="00475FA2">
            <w:pPr>
              <w:pStyle w:val="TableParagraph"/>
              <w:contextualSpacing/>
              <w:jc w:val="both"/>
              <w:rPr>
                <w:sz w:val="20"/>
                <w:szCs w:val="20"/>
              </w:rPr>
            </w:pPr>
            <w:r w:rsidRPr="0001291E">
              <w:rPr>
                <w:color w:val="000104"/>
                <w:spacing w:val="-5"/>
                <w:sz w:val="20"/>
                <w:szCs w:val="20"/>
              </w:rPr>
              <w:t>64</w:t>
            </w:r>
          </w:p>
        </w:tc>
        <w:tc>
          <w:tcPr>
            <w:tcW w:w="1118" w:type="dxa"/>
          </w:tcPr>
          <w:p w14:paraId="58CF8986" w14:textId="77777777" w:rsidR="00D02AC4" w:rsidRPr="0001291E" w:rsidRDefault="00D02AC4" w:rsidP="00475FA2">
            <w:pPr>
              <w:pStyle w:val="TableParagraph"/>
              <w:contextualSpacing/>
              <w:jc w:val="both"/>
              <w:rPr>
                <w:sz w:val="20"/>
                <w:szCs w:val="20"/>
              </w:rPr>
            </w:pPr>
            <w:r w:rsidRPr="0001291E">
              <w:rPr>
                <w:color w:val="000104"/>
                <w:spacing w:val="-4"/>
                <w:sz w:val="20"/>
                <w:szCs w:val="20"/>
              </w:rPr>
              <w:t>32.0</w:t>
            </w:r>
          </w:p>
        </w:tc>
        <w:tc>
          <w:tcPr>
            <w:tcW w:w="1423" w:type="dxa"/>
          </w:tcPr>
          <w:p w14:paraId="2CDBC427" w14:textId="77777777" w:rsidR="00D02AC4" w:rsidRPr="0001291E" w:rsidRDefault="00D02AC4" w:rsidP="00475FA2">
            <w:pPr>
              <w:pStyle w:val="TableParagraph"/>
              <w:contextualSpacing/>
              <w:jc w:val="both"/>
              <w:rPr>
                <w:sz w:val="20"/>
                <w:szCs w:val="20"/>
              </w:rPr>
            </w:pPr>
            <w:r w:rsidRPr="0001291E">
              <w:rPr>
                <w:color w:val="000104"/>
                <w:spacing w:val="-4"/>
                <w:sz w:val="20"/>
                <w:szCs w:val="20"/>
              </w:rPr>
              <w:t>32.0</w:t>
            </w:r>
          </w:p>
        </w:tc>
        <w:tc>
          <w:tcPr>
            <w:tcW w:w="1623" w:type="dxa"/>
          </w:tcPr>
          <w:p w14:paraId="0600EA48" w14:textId="77777777" w:rsidR="00D02AC4" w:rsidRPr="0001291E" w:rsidRDefault="00D02AC4" w:rsidP="00475FA2">
            <w:pPr>
              <w:pStyle w:val="TableParagraph"/>
              <w:contextualSpacing/>
              <w:jc w:val="both"/>
              <w:rPr>
                <w:sz w:val="20"/>
                <w:szCs w:val="20"/>
              </w:rPr>
            </w:pPr>
            <w:r w:rsidRPr="0001291E">
              <w:rPr>
                <w:color w:val="000104"/>
                <w:spacing w:val="-4"/>
                <w:sz w:val="20"/>
                <w:szCs w:val="20"/>
              </w:rPr>
              <w:t>94.0</w:t>
            </w:r>
          </w:p>
        </w:tc>
      </w:tr>
      <w:tr w:rsidR="00D02AC4" w:rsidRPr="0001291E" w14:paraId="28DACBFA" w14:textId="77777777" w:rsidTr="00493138">
        <w:trPr>
          <w:trHeight w:val="252"/>
          <w:jc w:val="center"/>
        </w:trPr>
        <w:tc>
          <w:tcPr>
            <w:tcW w:w="816" w:type="dxa"/>
            <w:vMerge/>
          </w:tcPr>
          <w:p w14:paraId="69843236" w14:textId="77777777" w:rsidR="00D02AC4" w:rsidRPr="0001291E" w:rsidRDefault="00D02AC4" w:rsidP="00475FA2">
            <w:pPr>
              <w:contextualSpacing/>
              <w:jc w:val="both"/>
              <w:rPr>
                <w:sz w:val="20"/>
                <w:szCs w:val="20"/>
              </w:rPr>
            </w:pPr>
          </w:p>
        </w:tc>
        <w:tc>
          <w:tcPr>
            <w:tcW w:w="2329" w:type="dxa"/>
          </w:tcPr>
          <w:p w14:paraId="0F87255A" w14:textId="77777777" w:rsidR="00D02AC4" w:rsidRPr="0001291E" w:rsidRDefault="00D02AC4" w:rsidP="00475FA2">
            <w:pPr>
              <w:pStyle w:val="TableParagraph"/>
              <w:contextualSpacing/>
              <w:jc w:val="both"/>
              <w:rPr>
                <w:sz w:val="20"/>
                <w:szCs w:val="20"/>
              </w:rPr>
            </w:pPr>
            <w:r w:rsidRPr="0001291E">
              <w:rPr>
                <w:sz w:val="20"/>
                <w:szCs w:val="20"/>
              </w:rPr>
              <w:t>5-10</w:t>
            </w:r>
            <w:r w:rsidRPr="0001291E">
              <w:rPr>
                <w:spacing w:val="-9"/>
                <w:sz w:val="20"/>
                <w:szCs w:val="20"/>
              </w:rPr>
              <w:t xml:space="preserve"> </w:t>
            </w:r>
            <w:r w:rsidRPr="0001291E">
              <w:rPr>
                <w:spacing w:val="-2"/>
                <w:sz w:val="20"/>
                <w:szCs w:val="20"/>
              </w:rPr>
              <w:t>Years</w:t>
            </w:r>
          </w:p>
        </w:tc>
        <w:tc>
          <w:tcPr>
            <w:tcW w:w="831" w:type="dxa"/>
          </w:tcPr>
          <w:p w14:paraId="4EB0981B" w14:textId="77777777" w:rsidR="00D02AC4" w:rsidRPr="0001291E" w:rsidRDefault="00D02AC4" w:rsidP="00475FA2">
            <w:pPr>
              <w:pStyle w:val="TableParagraph"/>
              <w:contextualSpacing/>
              <w:jc w:val="both"/>
              <w:rPr>
                <w:sz w:val="20"/>
                <w:szCs w:val="20"/>
              </w:rPr>
            </w:pPr>
            <w:r w:rsidRPr="0001291E">
              <w:rPr>
                <w:color w:val="000104"/>
                <w:spacing w:val="-10"/>
                <w:sz w:val="20"/>
                <w:szCs w:val="20"/>
              </w:rPr>
              <w:t>6</w:t>
            </w:r>
          </w:p>
        </w:tc>
        <w:tc>
          <w:tcPr>
            <w:tcW w:w="1118" w:type="dxa"/>
          </w:tcPr>
          <w:p w14:paraId="67C8164D" w14:textId="77777777" w:rsidR="00D02AC4" w:rsidRPr="0001291E" w:rsidRDefault="00D02AC4" w:rsidP="00475FA2">
            <w:pPr>
              <w:pStyle w:val="TableParagraph"/>
              <w:contextualSpacing/>
              <w:jc w:val="both"/>
              <w:rPr>
                <w:sz w:val="20"/>
                <w:szCs w:val="20"/>
              </w:rPr>
            </w:pPr>
            <w:r w:rsidRPr="0001291E">
              <w:rPr>
                <w:color w:val="000104"/>
                <w:spacing w:val="-5"/>
                <w:sz w:val="20"/>
                <w:szCs w:val="20"/>
              </w:rPr>
              <w:t>3.0</w:t>
            </w:r>
          </w:p>
        </w:tc>
        <w:tc>
          <w:tcPr>
            <w:tcW w:w="1423" w:type="dxa"/>
          </w:tcPr>
          <w:p w14:paraId="020C87A8" w14:textId="77777777" w:rsidR="00D02AC4" w:rsidRPr="0001291E" w:rsidRDefault="00D02AC4" w:rsidP="00475FA2">
            <w:pPr>
              <w:pStyle w:val="TableParagraph"/>
              <w:contextualSpacing/>
              <w:jc w:val="both"/>
              <w:rPr>
                <w:sz w:val="20"/>
                <w:szCs w:val="20"/>
              </w:rPr>
            </w:pPr>
            <w:r w:rsidRPr="0001291E">
              <w:rPr>
                <w:color w:val="000104"/>
                <w:spacing w:val="-5"/>
                <w:sz w:val="20"/>
                <w:szCs w:val="20"/>
              </w:rPr>
              <w:t>3.0</w:t>
            </w:r>
          </w:p>
        </w:tc>
        <w:tc>
          <w:tcPr>
            <w:tcW w:w="1623" w:type="dxa"/>
          </w:tcPr>
          <w:p w14:paraId="35BCD8ED" w14:textId="77777777" w:rsidR="00D02AC4" w:rsidRPr="0001291E" w:rsidRDefault="00D02AC4" w:rsidP="00475FA2">
            <w:pPr>
              <w:pStyle w:val="TableParagraph"/>
              <w:contextualSpacing/>
              <w:jc w:val="both"/>
              <w:rPr>
                <w:sz w:val="20"/>
                <w:szCs w:val="20"/>
              </w:rPr>
            </w:pPr>
            <w:r w:rsidRPr="0001291E">
              <w:rPr>
                <w:color w:val="000104"/>
                <w:spacing w:val="-4"/>
                <w:sz w:val="20"/>
                <w:szCs w:val="20"/>
              </w:rPr>
              <w:t>97.0</w:t>
            </w:r>
          </w:p>
        </w:tc>
      </w:tr>
      <w:tr w:rsidR="00D02AC4" w:rsidRPr="0001291E" w14:paraId="51291593" w14:textId="77777777" w:rsidTr="00493138">
        <w:trPr>
          <w:trHeight w:val="40"/>
          <w:jc w:val="center"/>
        </w:trPr>
        <w:tc>
          <w:tcPr>
            <w:tcW w:w="816" w:type="dxa"/>
            <w:vMerge/>
          </w:tcPr>
          <w:p w14:paraId="6CCFF20F" w14:textId="77777777" w:rsidR="00D02AC4" w:rsidRPr="0001291E" w:rsidRDefault="00D02AC4" w:rsidP="00475FA2">
            <w:pPr>
              <w:contextualSpacing/>
              <w:jc w:val="both"/>
              <w:rPr>
                <w:sz w:val="20"/>
                <w:szCs w:val="20"/>
              </w:rPr>
            </w:pPr>
          </w:p>
        </w:tc>
        <w:tc>
          <w:tcPr>
            <w:tcW w:w="2329" w:type="dxa"/>
          </w:tcPr>
          <w:p w14:paraId="36323AD4" w14:textId="095A3BCC" w:rsidR="00D02AC4" w:rsidRPr="0001291E" w:rsidRDefault="00D02AC4" w:rsidP="00493138">
            <w:pPr>
              <w:pStyle w:val="TableParagraph"/>
              <w:contextualSpacing/>
              <w:jc w:val="both"/>
              <w:rPr>
                <w:sz w:val="20"/>
                <w:szCs w:val="20"/>
              </w:rPr>
            </w:pPr>
            <w:r w:rsidRPr="0001291E">
              <w:rPr>
                <w:sz w:val="20"/>
                <w:szCs w:val="20"/>
              </w:rPr>
              <w:t>More</w:t>
            </w:r>
            <w:r w:rsidRPr="0001291E">
              <w:rPr>
                <w:spacing w:val="2"/>
                <w:sz w:val="20"/>
                <w:szCs w:val="20"/>
              </w:rPr>
              <w:t xml:space="preserve"> </w:t>
            </w:r>
            <w:r w:rsidRPr="0001291E">
              <w:rPr>
                <w:sz w:val="20"/>
                <w:szCs w:val="20"/>
              </w:rPr>
              <w:t xml:space="preserve">than </w:t>
            </w:r>
            <w:r w:rsidRPr="0001291E">
              <w:rPr>
                <w:spacing w:val="-5"/>
                <w:sz w:val="20"/>
                <w:szCs w:val="20"/>
              </w:rPr>
              <w:t>10</w:t>
            </w:r>
            <w:r w:rsidR="00493138">
              <w:rPr>
                <w:spacing w:val="-5"/>
                <w:sz w:val="20"/>
                <w:szCs w:val="20"/>
              </w:rPr>
              <w:t xml:space="preserve"> </w:t>
            </w:r>
            <w:r w:rsidRPr="0001291E">
              <w:rPr>
                <w:spacing w:val="-2"/>
                <w:sz w:val="20"/>
                <w:szCs w:val="20"/>
              </w:rPr>
              <w:t>Years</w:t>
            </w:r>
          </w:p>
        </w:tc>
        <w:tc>
          <w:tcPr>
            <w:tcW w:w="831" w:type="dxa"/>
          </w:tcPr>
          <w:p w14:paraId="4007B1AE" w14:textId="77777777" w:rsidR="00D02AC4" w:rsidRPr="0001291E" w:rsidRDefault="00D02AC4" w:rsidP="00475FA2">
            <w:pPr>
              <w:pStyle w:val="TableParagraph"/>
              <w:contextualSpacing/>
              <w:jc w:val="both"/>
              <w:rPr>
                <w:sz w:val="20"/>
                <w:szCs w:val="20"/>
              </w:rPr>
            </w:pPr>
            <w:r w:rsidRPr="0001291E">
              <w:rPr>
                <w:color w:val="000104"/>
                <w:spacing w:val="-10"/>
                <w:sz w:val="20"/>
                <w:szCs w:val="20"/>
              </w:rPr>
              <w:t>6</w:t>
            </w:r>
          </w:p>
        </w:tc>
        <w:tc>
          <w:tcPr>
            <w:tcW w:w="1118" w:type="dxa"/>
          </w:tcPr>
          <w:p w14:paraId="02383D47" w14:textId="77777777" w:rsidR="00D02AC4" w:rsidRPr="0001291E" w:rsidRDefault="00D02AC4" w:rsidP="00475FA2">
            <w:pPr>
              <w:pStyle w:val="TableParagraph"/>
              <w:contextualSpacing/>
              <w:jc w:val="both"/>
              <w:rPr>
                <w:sz w:val="20"/>
                <w:szCs w:val="20"/>
              </w:rPr>
            </w:pPr>
            <w:r w:rsidRPr="0001291E">
              <w:rPr>
                <w:color w:val="000104"/>
                <w:spacing w:val="-5"/>
                <w:sz w:val="20"/>
                <w:szCs w:val="20"/>
              </w:rPr>
              <w:t>3.0</w:t>
            </w:r>
          </w:p>
        </w:tc>
        <w:tc>
          <w:tcPr>
            <w:tcW w:w="1423" w:type="dxa"/>
          </w:tcPr>
          <w:p w14:paraId="429370D5" w14:textId="77777777" w:rsidR="00D02AC4" w:rsidRPr="0001291E" w:rsidRDefault="00D02AC4" w:rsidP="00475FA2">
            <w:pPr>
              <w:pStyle w:val="TableParagraph"/>
              <w:contextualSpacing/>
              <w:jc w:val="both"/>
              <w:rPr>
                <w:sz w:val="20"/>
                <w:szCs w:val="20"/>
              </w:rPr>
            </w:pPr>
            <w:r w:rsidRPr="0001291E">
              <w:rPr>
                <w:color w:val="000104"/>
                <w:spacing w:val="-5"/>
                <w:sz w:val="20"/>
                <w:szCs w:val="20"/>
              </w:rPr>
              <w:t>3.0</w:t>
            </w:r>
          </w:p>
        </w:tc>
        <w:tc>
          <w:tcPr>
            <w:tcW w:w="1623" w:type="dxa"/>
          </w:tcPr>
          <w:p w14:paraId="2D5C8362" w14:textId="77777777" w:rsidR="00D02AC4" w:rsidRPr="0001291E" w:rsidRDefault="00D02AC4" w:rsidP="00475FA2">
            <w:pPr>
              <w:pStyle w:val="TableParagraph"/>
              <w:contextualSpacing/>
              <w:jc w:val="both"/>
              <w:rPr>
                <w:sz w:val="20"/>
                <w:szCs w:val="20"/>
              </w:rPr>
            </w:pPr>
            <w:r w:rsidRPr="0001291E">
              <w:rPr>
                <w:color w:val="000104"/>
                <w:spacing w:val="-2"/>
                <w:sz w:val="20"/>
                <w:szCs w:val="20"/>
              </w:rPr>
              <w:t>100.0</w:t>
            </w:r>
          </w:p>
        </w:tc>
      </w:tr>
      <w:tr w:rsidR="00D02AC4" w:rsidRPr="0001291E" w14:paraId="00F1C3D4" w14:textId="77777777" w:rsidTr="00493138">
        <w:trPr>
          <w:trHeight w:val="271"/>
          <w:jc w:val="center"/>
        </w:trPr>
        <w:tc>
          <w:tcPr>
            <w:tcW w:w="816" w:type="dxa"/>
            <w:vMerge/>
          </w:tcPr>
          <w:p w14:paraId="302D937A" w14:textId="77777777" w:rsidR="00D02AC4" w:rsidRPr="0001291E" w:rsidRDefault="00D02AC4" w:rsidP="00475FA2">
            <w:pPr>
              <w:contextualSpacing/>
              <w:jc w:val="both"/>
              <w:rPr>
                <w:sz w:val="20"/>
                <w:szCs w:val="20"/>
              </w:rPr>
            </w:pPr>
          </w:p>
        </w:tc>
        <w:tc>
          <w:tcPr>
            <w:tcW w:w="2329" w:type="dxa"/>
          </w:tcPr>
          <w:p w14:paraId="5F7F7873" w14:textId="77777777" w:rsidR="00D02AC4" w:rsidRPr="0001291E" w:rsidRDefault="00D02AC4" w:rsidP="00475FA2">
            <w:pPr>
              <w:pStyle w:val="TableParagraph"/>
              <w:contextualSpacing/>
              <w:jc w:val="both"/>
              <w:rPr>
                <w:sz w:val="20"/>
                <w:szCs w:val="20"/>
              </w:rPr>
            </w:pPr>
            <w:r w:rsidRPr="0001291E">
              <w:rPr>
                <w:spacing w:val="-2"/>
                <w:sz w:val="20"/>
                <w:szCs w:val="20"/>
              </w:rPr>
              <w:t>Total</w:t>
            </w:r>
          </w:p>
        </w:tc>
        <w:tc>
          <w:tcPr>
            <w:tcW w:w="831" w:type="dxa"/>
          </w:tcPr>
          <w:p w14:paraId="383CB868" w14:textId="77777777" w:rsidR="00D02AC4" w:rsidRPr="0001291E" w:rsidRDefault="00D02AC4" w:rsidP="00475FA2">
            <w:pPr>
              <w:pStyle w:val="TableParagraph"/>
              <w:contextualSpacing/>
              <w:jc w:val="both"/>
              <w:rPr>
                <w:sz w:val="20"/>
                <w:szCs w:val="20"/>
              </w:rPr>
            </w:pPr>
            <w:r w:rsidRPr="0001291E">
              <w:rPr>
                <w:color w:val="000104"/>
                <w:spacing w:val="-5"/>
                <w:sz w:val="20"/>
                <w:szCs w:val="20"/>
              </w:rPr>
              <w:t>200</w:t>
            </w:r>
          </w:p>
        </w:tc>
        <w:tc>
          <w:tcPr>
            <w:tcW w:w="1118" w:type="dxa"/>
          </w:tcPr>
          <w:p w14:paraId="0C7B4573" w14:textId="77777777" w:rsidR="00D02AC4" w:rsidRPr="0001291E" w:rsidRDefault="00D02AC4" w:rsidP="00475FA2">
            <w:pPr>
              <w:pStyle w:val="TableParagraph"/>
              <w:contextualSpacing/>
              <w:jc w:val="both"/>
              <w:rPr>
                <w:sz w:val="20"/>
                <w:szCs w:val="20"/>
              </w:rPr>
            </w:pPr>
            <w:r w:rsidRPr="0001291E">
              <w:rPr>
                <w:color w:val="000104"/>
                <w:spacing w:val="-2"/>
                <w:sz w:val="20"/>
                <w:szCs w:val="20"/>
              </w:rPr>
              <w:t>100.0</w:t>
            </w:r>
          </w:p>
        </w:tc>
        <w:tc>
          <w:tcPr>
            <w:tcW w:w="1423" w:type="dxa"/>
          </w:tcPr>
          <w:p w14:paraId="7024142E" w14:textId="77777777" w:rsidR="00D02AC4" w:rsidRPr="0001291E" w:rsidRDefault="00D02AC4" w:rsidP="00475FA2">
            <w:pPr>
              <w:pStyle w:val="TableParagraph"/>
              <w:contextualSpacing/>
              <w:jc w:val="both"/>
              <w:rPr>
                <w:sz w:val="20"/>
                <w:szCs w:val="20"/>
              </w:rPr>
            </w:pPr>
            <w:r w:rsidRPr="0001291E">
              <w:rPr>
                <w:color w:val="000104"/>
                <w:spacing w:val="-2"/>
                <w:sz w:val="20"/>
                <w:szCs w:val="20"/>
              </w:rPr>
              <w:t>100.0</w:t>
            </w:r>
          </w:p>
        </w:tc>
        <w:tc>
          <w:tcPr>
            <w:tcW w:w="1623" w:type="dxa"/>
          </w:tcPr>
          <w:p w14:paraId="33272CE3" w14:textId="77777777" w:rsidR="00D02AC4" w:rsidRPr="0001291E" w:rsidRDefault="00D02AC4" w:rsidP="00475FA2">
            <w:pPr>
              <w:pStyle w:val="TableParagraph"/>
              <w:contextualSpacing/>
              <w:jc w:val="both"/>
              <w:rPr>
                <w:sz w:val="20"/>
                <w:szCs w:val="20"/>
              </w:rPr>
            </w:pPr>
          </w:p>
        </w:tc>
      </w:tr>
    </w:tbl>
    <w:p w14:paraId="30ADD8DD" w14:textId="77777777" w:rsidR="00493138" w:rsidRDefault="00493138" w:rsidP="00493138">
      <w:pPr>
        <w:tabs>
          <w:tab w:val="center" w:pos="4680"/>
        </w:tabs>
      </w:pPr>
    </w:p>
    <w:p w14:paraId="71D9292E" w14:textId="3CDC7C4D" w:rsidR="00493138" w:rsidRPr="00493138" w:rsidRDefault="00493138" w:rsidP="00493138">
      <w:pPr>
        <w:tabs>
          <w:tab w:val="left" w:pos="3968"/>
        </w:tabs>
        <w:jc w:val="center"/>
        <w:sectPr w:rsidR="00493138" w:rsidRPr="00493138" w:rsidSect="00475FA2">
          <w:type w:val="continuous"/>
          <w:pgSz w:w="12240" w:h="15840" w:code="1"/>
          <w:pgMar w:top="1440" w:right="1440" w:bottom="1440" w:left="1440" w:header="706" w:footer="706" w:gutter="0"/>
          <w:cols w:space="720"/>
          <w:docGrid w:linePitch="299"/>
        </w:sectPr>
      </w:pPr>
      <w:r w:rsidRPr="0001291E">
        <w:rPr>
          <w:noProof/>
          <w:sz w:val="20"/>
          <w:szCs w:val="20"/>
          <w:lang w:val="en-IN" w:eastAsia="en-IN"/>
        </w:rPr>
        <w:drawing>
          <wp:inline distT="0" distB="0" distL="0" distR="0" wp14:anchorId="29C75FD0" wp14:editId="60B3761E">
            <wp:extent cx="4457700" cy="2045970"/>
            <wp:effectExtent l="0" t="0" r="0" b="11430"/>
            <wp:docPr id="119078696" name="Chart 1">
              <a:extLst xmlns:a="http://schemas.openxmlformats.org/drawingml/2006/main">
                <a:ext uri="{FF2B5EF4-FFF2-40B4-BE49-F238E27FC236}">
                  <a16:creationId xmlns:a16="http://schemas.microsoft.com/office/drawing/2014/main" id="{2EB8A7C0-AC4E-3814-87E6-AC8259FC4B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4B9E597" w14:textId="2C3ED034" w:rsidR="00B85AE6" w:rsidRPr="0001291E" w:rsidRDefault="00B85AE6" w:rsidP="00475FA2">
      <w:pPr>
        <w:pBdr>
          <w:top w:val="nil"/>
          <w:left w:val="nil"/>
          <w:bottom w:val="nil"/>
          <w:right w:val="nil"/>
          <w:between w:val="nil"/>
        </w:pBdr>
        <w:spacing w:before="120" w:line="276" w:lineRule="auto"/>
        <w:jc w:val="both"/>
        <w:rPr>
          <w:b/>
          <w:color w:val="000000"/>
          <w:sz w:val="20"/>
          <w:szCs w:val="20"/>
        </w:rPr>
      </w:pPr>
      <w:r w:rsidRPr="0001291E">
        <w:rPr>
          <w:b/>
          <w:color w:val="000000"/>
          <w:sz w:val="20"/>
          <w:szCs w:val="20"/>
        </w:rPr>
        <w:t xml:space="preserve">Interpretation: </w:t>
      </w:r>
    </w:p>
    <w:p w14:paraId="5AA9B31C" w14:textId="4C667830" w:rsidR="00B85AE6" w:rsidRPr="0001291E" w:rsidRDefault="00B85AE6" w:rsidP="00475FA2">
      <w:pPr>
        <w:spacing w:before="120" w:line="276" w:lineRule="auto"/>
        <w:jc w:val="both"/>
        <w:rPr>
          <w:sz w:val="20"/>
          <w:szCs w:val="20"/>
        </w:rPr>
      </w:pPr>
      <w:r w:rsidRPr="0001291E">
        <w:rPr>
          <w:sz w:val="20"/>
          <w:szCs w:val="20"/>
        </w:rPr>
        <w:t xml:space="preserve">The table below shows the investment experience distribution of respondents. It is clear that 62% of the respondents have less than 1 year of investment </w:t>
      </w:r>
      <w:r w:rsidRPr="0001291E">
        <w:rPr>
          <w:sz w:val="20"/>
          <w:szCs w:val="20"/>
        </w:rPr>
        <w:t xml:space="preserve">experience, indicating that a majority are relatively new investors, possibly influenced by recent trends in ESG investing and financial awareness. A significant portion, 32%, have 1-5 years of experience, suggesting a growing segment of moderately experienced </w:t>
      </w:r>
      <w:r w:rsidRPr="0001291E">
        <w:rPr>
          <w:sz w:val="20"/>
          <w:szCs w:val="20"/>
        </w:rPr>
        <w:lastRenderedPageBreak/>
        <w:t xml:space="preserve">investors who may be actively refining their investment strategies. A much smaller share, 3%, have 5-10 years of experience, and another 3% have been investing for more than 10 years, highlighting that long-term investors form a minority in the sample. </w:t>
      </w:r>
      <w:r w:rsidRPr="0001291E">
        <w:rPr>
          <w:sz w:val="20"/>
          <w:szCs w:val="20"/>
        </w:rPr>
        <w:t>Overall, the data suggests that ESG awareness and investment decisions are largely driven by newer investors, while seasoned investors constitute a much smaller proportion.</w:t>
      </w:r>
    </w:p>
    <w:p w14:paraId="7385CA50" w14:textId="77777777" w:rsidR="00475FA2" w:rsidRDefault="00475FA2" w:rsidP="00475FA2">
      <w:pPr>
        <w:pStyle w:val="BodyText"/>
        <w:spacing w:before="120" w:line="276" w:lineRule="auto"/>
        <w:jc w:val="both"/>
        <w:rPr>
          <w:rFonts w:eastAsia="Arial"/>
          <w:b/>
          <w:color w:val="010205"/>
          <w:sz w:val="20"/>
          <w:szCs w:val="20"/>
        </w:rPr>
        <w:sectPr w:rsidR="00475FA2" w:rsidSect="00493138">
          <w:type w:val="continuous"/>
          <w:pgSz w:w="12240" w:h="15840" w:code="1"/>
          <w:pgMar w:top="1440" w:right="1440" w:bottom="1440" w:left="1440" w:header="706" w:footer="706" w:gutter="0"/>
          <w:cols w:num="2" w:space="720"/>
          <w:docGrid w:linePitch="299"/>
        </w:sectPr>
      </w:pPr>
    </w:p>
    <w:p w14:paraId="7560C1D1" w14:textId="1F96B15F" w:rsidR="00AB1F2E" w:rsidRPr="0001291E" w:rsidRDefault="00B85AE6" w:rsidP="00493138">
      <w:pPr>
        <w:pStyle w:val="BodyText"/>
        <w:spacing w:before="120" w:line="276" w:lineRule="auto"/>
        <w:jc w:val="center"/>
        <w:rPr>
          <w:rFonts w:eastAsia="Arial"/>
          <w:b/>
          <w:color w:val="010205"/>
          <w:sz w:val="20"/>
          <w:szCs w:val="20"/>
        </w:rPr>
      </w:pPr>
      <w:r w:rsidRPr="0001291E">
        <w:rPr>
          <w:rFonts w:eastAsia="Arial"/>
          <w:b/>
          <w:color w:val="010205"/>
          <w:sz w:val="20"/>
          <w:szCs w:val="20"/>
        </w:rPr>
        <w:t>What types of financial instruments do you invest in</w:t>
      </w:r>
      <w:r w:rsidR="00AB1F2E" w:rsidRPr="0001291E">
        <w:rPr>
          <w:rFonts w:eastAsia="Arial"/>
          <w:b/>
          <w:color w:val="010205"/>
          <w:sz w:val="20"/>
          <w:szCs w:val="20"/>
        </w:rPr>
        <w:t>?</w:t>
      </w:r>
    </w:p>
    <w:tbl>
      <w:tblPr>
        <w:tblStyle w:val="TableGrid"/>
        <w:tblW w:w="0" w:type="auto"/>
        <w:jc w:val="center"/>
        <w:tblLayout w:type="fixed"/>
        <w:tblLook w:val="04A0" w:firstRow="1" w:lastRow="0" w:firstColumn="1" w:lastColumn="0" w:noHBand="0" w:noVBand="1"/>
      </w:tblPr>
      <w:tblGrid>
        <w:gridCol w:w="908"/>
        <w:gridCol w:w="2040"/>
        <w:gridCol w:w="1316"/>
        <w:gridCol w:w="1260"/>
        <w:gridCol w:w="1594"/>
        <w:gridCol w:w="1817"/>
      </w:tblGrid>
      <w:tr w:rsidR="004E0431" w:rsidRPr="004E0431" w14:paraId="341270F5" w14:textId="77777777" w:rsidTr="00AD3460">
        <w:trPr>
          <w:trHeight w:val="242"/>
          <w:jc w:val="center"/>
        </w:trPr>
        <w:tc>
          <w:tcPr>
            <w:tcW w:w="2948" w:type="dxa"/>
            <w:gridSpan w:val="2"/>
          </w:tcPr>
          <w:p w14:paraId="24891F5F" w14:textId="07E96364" w:rsidR="00AB1F2E" w:rsidRPr="004E0431" w:rsidRDefault="00B85AE6" w:rsidP="00475FA2">
            <w:pPr>
              <w:spacing w:before="120" w:line="276" w:lineRule="auto"/>
              <w:contextualSpacing/>
              <w:rPr>
                <w:sz w:val="20"/>
                <w:szCs w:val="20"/>
              </w:rPr>
            </w:pPr>
            <w:r w:rsidRPr="0001291E">
              <w:rPr>
                <w:sz w:val="20"/>
                <w:szCs w:val="20"/>
              </w:rPr>
              <w:t xml:space="preserve"> </w:t>
            </w:r>
          </w:p>
        </w:tc>
        <w:tc>
          <w:tcPr>
            <w:tcW w:w="1316" w:type="dxa"/>
          </w:tcPr>
          <w:p w14:paraId="3B853E01" w14:textId="77777777" w:rsidR="00AB1F2E" w:rsidRPr="004E0431" w:rsidRDefault="00AB1F2E" w:rsidP="00475FA2">
            <w:pPr>
              <w:spacing w:before="120" w:line="276" w:lineRule="auto"/>
              <w:contextualSpacing/>
              <w:jc w:val="center"/>
              <w:rPr>
                <w:sz w:val="20"/>
                <w:szCs w:val="20"/>
              </w:rPr>
            </w:pPr>
            <w:r w:rsidRPr="004E0431">
              <w:rPr>
                <w:rFonts w:eastAsia="Arial"/>
                <w:sz w:val="20"/>
                <w:szCs w:val="20"/>
              </w:rPr>
              <w:t>Frequency</w:t>
            </w:r>
          </w:p>
        </w:tc>
        <w:tc>
          <w:tcPr>
            <w:tcW w:w="1260" w:type="dxa"/>
          </w:tcPr>
          <w:p w14:paraId="01A87293" w14:textId="77777777" w:rsidR="00AB1F2E" w:rsidRPr="004E0431" w:rsidRDefault="00AB1F2E" w:rsidP="00475FA2">
            <w:pPr>
              <w:spacing w:before="120" w:line="276" w:lineRule="auto"/>
              <w:contextualSpacing/>
              <w:jc w:val="center"/>
              <w:rPr>
                <w:sz w:val="20"/>
                <w:szCs w:val="20"/>
              </w:rPr>
            </w:pPr>
            <w:r w:rsidRPr="004E0431">
              <w:rPr>
                <w:rFonts w:eastAsia="Arial"/>
                <w:sz w:val="20"/>
                <w:szCs w:val="20"/>
              </w:rPr>
              <w:t>Percent</w:t>
            </w:r>
          </w:p>
        </w:tc>
        <w:tc>
          <w:tcPr>
            <w:tcW w:w="1594" w:type="dxa"/>
          </w:tcPr>
          <w:p w14:paraId="36402C72" w14:textId="77777777" w:rsidR="00AB1F2E" w:rsidRPr="004E0431" w:rsidRDefault="00AB1F2E" w:rsidP="00475FA2">
            <w:pPr>
              <w:spacing w:before="120" w:line="276" w:lineRule="auto"/>
              <w:contextualSpacing/>
              <w:jc w:val="center"/>
              <w:rPr>
                <w:sz w:val="20"/>
                <w:szCs w:val="20"/>
              </w:rPr>
            </w:pPr>
            <w:r w:rsidRPr="004E0431">
              <w:rPr>
                <w:rFonts w:eastAsia="Arial"/>
                <w:sz w:val="20"/>
                <w:szCs w:val="20"/>
              </w:rPr>
              <w:t>Valid Percent</w:t>
            </w:r>
          </w:p>
        </w:tc>
        <w:tc>
          <w:tcPr>
            <w:tcW w:w="1817" w:type="dxa"/>
          </w:tcPr>
          <w:p w14:paraId="56F5F059" w14:textId="77777777" w:rsidR="00AB1F2E" w:rsidRPr="004E0431" w:rsidRDefault="00AB1F2E" w:rsidP="00475FA2">
            <w:pPr>
              <w:spacing w:before="120" w:line="276" w:lineRule="auto"/>
              <w:contextualSpacing/>
              <w:jc w:val="center"/>
              <w:rPr>
                <w:sz w:val="20"/>
                <w:szCs w:val="20"/>
              </w:rPr>
            </w:pPr>
            <w:r w:rsidRPr="004E0431">
              <w:rPr>
                <w:rFonts w:eastAsia="Arial"/>
                <w:sz w:val="20"/>
                <w:szCs w:val="20"/>
              </w:rPr>
              <w:t>Cumulative Percent</w:t>
            </w:r>
          </w:p>
        </w:tc>
      </w:tr>
      <w:tr w:rsidR="004E0431" w:rsidRPr="004E0431" w14:paraId="46A582C1" w14:textId="77777777" w:rsidTr="00493138">
        <w:trPr>
          <w:trHeight w:val="289"/>
          <w:jc w:val="center"/>
        </w:trPr>
        <w:tc>
          <w:tcPr>
            <w:tcW w:w="908" w:type="dxa"/>
            <w:vMerge w:val="restart"/>
          </w:tcPr>
          <w:p w14:paraId="42842CB0" w14:textId="77777777" w:rsidR="00AB1F2E" w:rsidRPr="004E0431" w:rsidRDefault="00AB1F2E" w:rsidP="00475FA2">
            <w:pPr>
              <w:spacing w:before="120" w:line="276" w:lineRule="auto"/>
              <w:contextualSpacing/>
              <w:rPr>
                <w:rFonts w:eastAsia="Arial"/>
                <w:sz w:val="20"/>
                <w:szCs w:val="20"/>
              </w:rPr>
            </w:pPr>
          </w:p>
          <w:p w14:paraId="63B332ED" w14:textId="77777777" w:rsidR="00AB1F2E" w:rsidRPr="004E0431" w:rsidRDefault="00AB1F2E" w:rsidP="00475FA2">
            <w:pPr>
              <w:spacing w:before="120" w:line="276" w:lineRule="auto"/>
              <w:contextualSpacing/>
              <w:rPr>
                <w:sz w:val="20"/>
                <w:szCs w:val="20"/>
              </w:rPr>
            </w:pPr>
            <w:r w:rsidRPr="004E0431">
              <w:rPr>
                <w:rFonts w:eastAsia="Arial"/>
                <w:sz w:val="20"/>
                <w:szCs w:val="20"/>
              </w:rPr>
              <w:t>Valid</w:t>
            </w:r>
          </w:p>
        </w:tc>
        <w:tc>
          <w:tcPr>
            <w:tcW w:w="2040" w:type="dxa"/>
          </w:tcPr>
          <w:p w14:paraId="6CB5A9E0" w14:textId="77777777" w:rsidR="00AB1F2E" w:rsidRPr="004E0431" w:rsidRDefault="00AB1F2E" w:rsidP="00475FA2">
            <w:pPr>
              <w:spacing w:before="120" w:line="276" w:lineRule="auto"/>
              <w:contextualSpacing/>
              <w:rPr>
                <w:sz w:val="20"/>
                <w:szCs w:val="20"/>
              </w:rPr>
            </w:pPr>
            <w:r w:rsidRPr="004E0431">
              <w:rPr>
                <w:rFonts w:eastAsia="Arial"/>
                <w:sz w:val="20"/>
                <w:szCs w:val="20"/>
              </w:rPr>
              <w:t>Stocks</w:t>
            </w:r>
          </w:p>
        </w:tc>
        <w:tc>
          <w:tcPr>
            <w:tcW w:w="1316" w:type="dxa"/>
          </w:tcPr>
          <w:p w14:paraId="1042F947" w14:textId="77777777" w:rsidR="00AB1F2E" w:rsidRPr="004E0431" w:rsidRDefault="00AB1F2E" w:rsidP="00475FA2">
            <w:pPr>
              <w:spacing w:before="120" w:line="276" w:lineRule="auto"/>
              <w:contextualSpacing/>
              <w:jc w:val="right"/>
              <w:rPr>
                <w:sz w:val="20"/>
                <w:szCs w:val="20"/>
              </w:rPr>
            </w:pPr>
            <w:r w:rsidRPr="004E0431">
              <w:rPr>
                <w:rFonts w:eastAsia="Arial"/>
                <w:sz w:val="20"/>
                <w:szCs w:val="20"/>
              </w:rPr>
              <w:t>102</w:t>
            </w:r>
          </w:p>
        </w:tc>
        <w:tc>
          <w:tcPr>
            <w:tcW w:w="1260" w:type="dxa"/>
          </w:tcPr>
          <w:p w14:paraId="7461D8DB" w14:textId="77777777" w:rsidR="00AB1F2E" w:rsidRPr="004E0431" w:rsidRDefault="00AB1F2E" w:rsidP="00475FA2">
            <w:pPr>
              <w:spacing w:before="120" w:line="276" w:lineRule="auto"/>
              <w:contextualSpacing/>
              <w:jc w:val="right"/>
              <w:rPr>
                <w:sz w:val="20"/>
                <w:szCs w:val="20"/>
              </w:rPr>
            </w:pPr>
            <w:r w:rsidRPr="004E0431">
              <w:rPr>
                <w:rFonts w:eastAsia="Arial"/>
                <w:sz w:val="20"/>
                <w:szCs w:val="20"/>
              </w:rPr>
              <w:t>51.0</w:t>
            </w:r>
          </w:p>
        </w:tc>
        <w:tc>
          <w:tcPr>
            <w:tcW w:w="1594" w:type="dxa"/>
          </w:tcPr>
          <w:p w14:paraId="68C92F02" w14:textId="77777777" w:rsidR="00AB1F2E" w:rsidRPr="004E0431" w:rsidRDefault="00AB1F2E" w:rsidP="00475FA2">
            <w:pPr>
              <w:spacing w:before="120" w:line="276" w:lineRule="auto"/>
              <w:contextualSpacing/>
              <w:jc w:val="right"/>
              <w:rPr>
                <w:sz w:val="20"/>
                <w:szCs w:val="20"/>
              </w:rPr>
            </w:pPr>
            <w:r w:rsidRPr="004E0431">
              <w:rPr>
                <w:rFonts w:eastAsia="Arial"/>
                <w:sz w:val="20"/>
                <w:szCs w:val="20"/>
              </w:rPr>
              <w:t>51.0</w:t>
            </w:r>
          </w:p>
        </w:tc>
        <w:tc>
          <w:tcPr>
            <w:tcW w:w="1817" w:type="dxa"/>
          </w:tcPr>
          <w:p w14:paraId="091D5DD6" w14:textId="77777777" w:rsidR="00AB1F2E" w:rsidRPr="004E0431" w:rsidRDefault="00AB1F2E" w:rsidP="00475FA2">
            <w:pPr>
              <w:spacing w:before="120" w:line="276" w:lineRule="auto"/>
              <w:contextualSpacing/>
              <w:jc w:val="right"/>
              <w:rPr>
                <w:sz w:val="20"/>
                <w:szCs w:val="20"/>
              </w:rPr>
            </w:pPr>
            <w:r w:rsidRPr="004E0431">
              <w:rPr>
                <w:rFonts w:eastAsia="Arial"/>
                <w:sz w:val="20"/>
                <w:szCs w:val="20"/>
              </w:rPr>
              <w:t>51.0</w:t>
            </w:r>
          </w:p>
        </w:tc>
      </w:tr>
      <w:tr w:rsidR="004E0431" w:rsidRPr="004E0431" w14:paraId="50969AB2" w14:textId="77777777" w:rsidTr="00493138">
        <w:trPr>
          <w:trHeight w:val="150"/>
          <w:jc w:val="center"/>
        </w:trPr>
        <w:tc>
          <w:tcPr>
            <w:tcW w:w="908" w:type="dxa"/>
            <w:vMerge/>
          </w:tcPr>
          <w:p w14:paraId="5695FFCD" w14:textId="77777777" w:rsidR="00AB1F2E" w:rsidRPr="004E0431" w:rsidRDefault="00AB1F2E" w:rsidP="00475FA2">
            <w:pPr>
              <w:spacing w:before="120" w:line="276" w:lineRule="auto"/>
              <w:contextualSpacing/>
              <w:rPr>
                <w:sz w:val="20"/>
                <w:szCs w:val="20"/>
              </w:rPr>
            </w:pPr>
          </w:p>
        </w:tc>
        <w:tc>
          <w:tcPr>
            <w:tcW w:w="2040" w:type="dxa"/>
          </w:tcPr>
          <w:p w14:paraId="53834592" w14:textId="77777777" w:rsidR="00AB1F2E" w:rsidRPr="004E0431" w:rsidRDefault="00AB1F2E" w:rsidP="00475FA2">
            <w:pPr>
              <w:spacing w:before="120" w:line="276" w:lineRule="auto"/>
              <w:contextualSpacing/>
              <w:rPr>
                <w:sz w:val="20"/>
                <w:szCs w:val="20"/>
              </w:rPr>
            </w:pPr>
            <w:r w:rsidRPr="004E0431">
              <w:rPr>
                <w:rFonts w:eastAsia="Arial"/>
                <w:sz w:val="20"/>
                <w:szCs w:val="20"/>
              </w:rPr>
              <w:t>Mutual Funds</w:t>
            </w:r>
          </w:p>
        </w:tc>
        <w:tc>
          <w:tcPr>
            <w:tcW w:w="1316" w:type="dxa"/>
          </w:tcPr>
          <w:p w14:paraId="6E10D3AB" w14:textId="77777777" w:rsidR="00AB1F2E" w:rsidRPr="004E0431" w:rsidRDefault="00AB1F2E" w:rsidP="00475FA2">
            <w:pPr>
              <w:spacing w:before="120" w:line="276" w:lineRule="auto"/>
              <w:contextualSpacing/>
              <w:jc w:val="right"/>
              <w:rPr>
                <w:sz w:val="20"/>
                <w:szCs w:val="20"/>
              </w:rPr>
            </w:pPr>
            <w:r w:rsidRPr="004E0431">
              <w:rPr>
                <w:rFonts w:eastAsia="Arial"/>
                <w:sz w:val="20"/>
                <w:szCs w:val="20"/>
              </w:rPr>
              <w:t>69</w:t>
            </w:r>
          </w:p>
        </w:tc>
        <w:tc>
          <w:tcPr>
            <w:tcW w:w="1260" w:type="dxa"/>
          </w:tcPr>
          <w:p w14:paraId="16953AF7" w14:textId="77777777" w:rsidR="00AB1F2E" w:rsidRPr="004E0431" w:rsidRDefault="00AB1F2E" w:rsidP="00475FA2">
            <w:pPr>
              <w:spacing w:before="120" w:line="276" w:lineRule="auto"/>
              <w:contextualSpacing/>
              <w:jc w:val="right"/>
              <w:rPr>
                <w:sz w:val="20"/>
                <w:szCs w:val="20"/>
              </w:rPr>
            </w:pPr>
            <w:r w:rsidRPr="004E0431">
              <w:rPr>
                <w:rFonts w:eastAsia="Arial"/>
                <w:sz w:val="20"/>
                <w:szCs w:val="20"/>
              </w:rPr>
              <w:t>34.5</w:t>
            </w:r>
          </w:p>
        </w:tc>
        <w:tc>
          <w:tcPr>
            <w:tcW w:w="1594" w:type="dxa"/>
          </w:tcPr>
          <w:p w14:paraId="7603C24F" w14:textId="77777777" w:rsidR="00AB1F2E" w:rsidRPr="004E0431" w:rsidRDefault="00AB1F2E" w:rsidP="00475FA2">
            <w:pPr>
              <w:spacing w:before="120" w:line="276" w:lineRule="auto"/>
              <w:contextualSpacing/>
              <w:jc w:val="right"/>
              <w:rPr>
                <w:sz w:val="20"/>
                <w:szCs w:val="20"/>
              </w:rPr>
            </w:pPr>
            <w:r w:rsidRPr="004E0431">
              <w:rPr>
                <w:rFonts w:eastAsia="Arial"/>
                <w:sz w:val="20"/>
                <w:szCs w:val="20"/>
              </w:rPr>
              <w:t>34.5</w:t>
            </w:r>
          </w:p>
        </w:tc>
        <w:tc>
          <w:tcPr>
            <w:tcW w:w="1817" w:type="dxa"/>
          </w:tcPr>
          <w:p w14:paraId="094253D4" w14:textId="77777777" w:rsidR="00AB1F2E" w:rsidRPr="004E0431" w:rsidRDefault="00AB1F2E" w:rsidP="00475FA2">
            <w:pPr>
              <w:spacing w:before="120" w:line="276" w:lineRule="auto"/>
              <w:contextualSpacing/>
              <w:jc w:val="right"/>
              <w:rPr>
                <w:sz w:val="20"/>
                <w:szCs w:val="20"/>
              </w:rPr>
            </w:pPr>
            <w:r w:rsidRPr="004E0431">
              <w:rPr>
                <w:rFonts w:eastAsia="Arial"/>
                <w:sz w:val="20"/>
                <w:szCs w:val="20"/>
              </w:rPr>
              <w:t>85.5</w:t>
            </w:r>
          </w:p>
        </w:tc>
      </w:tr>
      <w:tr w:rsidR="004E0431" w:rsidRPr="004E0431" w14:paraId="1A97E9AA" w14:textId="77777777" w:rsidTr="00493138">
        <w:trPr>
          <w:trHeight w:val="150"/>
          <w:jc w:val="center"/>
        </w:trPr>
        <w:tc>
          <w:tcPr>
            <w:tcW w:w="908" w:type="dxa"/>
            <w:vMerge/>
          </w:tcPr>
          <w:p w14:paraId="3CB97EB9" w14:textId="77777777" w:rsidR="00AB1F2E" w:rsidRPr="004E0431" w:rsidRDefault="00AB1F2E" w:rsidP="00475FA2">
            <w:pPr>
              <w:spacing w:before="120" w:line="276" w:lineRule="auto"/>
              <w:contextualSpacing/>
              <w:rPr>
                <w:sz w:val="20"/>
                <w:szCs w:val="20"/>
              </w:rPr>
            </w:pPr>
          </w:p>
        </w:tc>
        <w:tc>
          <w:tcPr>
            <w:tcW w:w="2040" w:type="dxa"/>
          </w:tcPr>
          <w:p w14:paraId="333F53CD" w14:textId="77777777" w:rsidR="00AB1F2E" w:rsidRPr="004E0431" w:rsidRDefault="00AB1F2E" w:rsidP="00475FA2">
            <w:pPr>
              <w:spacing w:before="120" w:line="276" w:lineRule="auto"/>
              <w:contextualSpacing/>
              <w:rPr>
                <w:sz w:val="20"/>
                <w:szCs w:val="20"/>
              </w:rPr>
            </w:pPr>
            <w:r w:rsidRPr="004E0431">
              <w:rPr>
                <w:rFonts w:eastAsia="Arial"/>
                <w:sz w:val="20"/>
                <w:szCs w:val="20"/>
              </w:rPr>
              <w:t>Bonds</w:t>
            </w:r>
          </w:p>
        </w:tc>
        <w:tc>
          <w:tcPr>
            <w:tcW w:w="1316" w:type="dxa"/>
          </w:tcPr>
          <w:p w14:paraId="1F7EBC16" w14:textId="77777777" w:rsidR="00AB1F2E" w:rsidRPr="004E0431" w:rsidRDefault="00AB1F2E" w:rsidP="00475FA2">
            <w:pPr>
              <w:spacing w:before="120" w:line="276" w:lineRule="auto"/>
              <w:contextualSpacing/>
              <w:jc w:val="right"/>
              <w:rPr>
                <w:sz w:val="20"/>
                <w:szCs w:val="20"/>
              </w:rPr>
            </w:pPr>
            <w:r w:rsidRPr="004E0431">
              <w:rPr>
                <w:rFonts w:eastAsia="Arial"/>
                <w:sz w:val="20"/>
                <w:szCs w:val="20"/>
              </w:rPr>
              <w:t>11</w:t>
            </w:r>
          </w:p>
        </w:tc>
        <w:tc>
          <w:tcPr>
            <w:tcW w:w="1260" w:type="dxa"/>
          </w:tcPr>
          <w:p w14:paraId="5C025EF3" w14:textId="77777777" w:rsidR="00AB1F2E" w:rsidRPr="004E0431" w:rsidRDefault="00AB1F2E" w:rsidP="00475FA2">
            <w:pPr>
              <w:spacing w:before="120" w:line="276" w:lineRule="auto"/>
              <w:contextualSpacing/>
              <w:jc w:val="right"/>
              <w:rPr>
                <w:sz w:val="20"/>
                <w:szCs w:val="20"/>
              </w:rPr>
            </w:pPr>
            <w:r w:rsidRPr="004E0431">
              <w:rPr>
                <w:rFonts w:eastAsia="Arial"/>
                <w:sz w:val="20"/>
                <w:szCs w:val="20"/>
              </w:rPr>
              <w:t>5.5</w:t>
            </w:r>
          </w:p>
        </w:tc>
        <w:tc>
          <w:tcPr>
            <w:tcW w:w="1594" w:type="dxa"/>
          </w:tcPr>
          <w:p w14:paraId="62016AA4" w14:textId="77777777" w:rsidR="00AB1F2E" w:rsidRPr="004E0431" w:rsidRDefault="00AB1F2E" w:rsidP="00475FA2">
            <w:pPr>
              <w:spacing w:before="120" w:line="276" w:lineRule="auto"/>
              <w:contextualSpacing/>
              <w:jc w:val="right"/>
              <w:rPr>
                <w:sz w:val="20"/>
                <w:szCs w:val="20"/>
              </w:rPr>
            </w:pPr>
            <w:r w:rsidRPr="004E0431">
              <w:rPr>
                <w:rFonts w:eastAsia="Arial"/>
                <w:sz w:val="20"/>
                <w:szCs w:val="20"/>
              </w:rPr>
              <w:t>5.5</w:t>
            </w:r>
          </w:p>
        </w:tc>
        <w:tc>
          <w:tcPr>
            <w:tcW w:w="1817" w:type="dxa"/>
          </w:tcPr>
          <w:p w14:paraId="6B64F1AA" w14:textId="77777777" w:rsidR="00AB1F2E" w:rsidRPr="004E0431" w:rsidRDefault="00AB1F2E" w:rsidP="00475FA2">
            <w:pPr>
              <w:spacing w:before="120" w:line="276" w:lineRule="auto"/>
              <w:contextualSpacing/>
              <w:jc w:val="right"/>
              <w:rPr>
                <w:sz w:val="20"/>
                <w:szCs w:val="20"/>
              </w:rPr>
            </w:pPr>
            <w:r w:rsidRPr="004E0431">
              <w:rPr>
                <w:rFonts w:eastAsia="Arial"/>
                <w:sz w:val="20"/>
                <w:szCs w:val="20"/>
              </w:rPr>
              <w:t>91.0</w:t>
            </w:r>
          </w:p>
        </w:tc>
      </w:tr>
      <w:tr w:rsidR="004E0431" w:rsidRPr="004E0431" w14:paraId="2E9D8CA7" w14:textId="77777777" w:rsidTr="00493138">
        <w:trPr>
          <w:trHeight w:val="150"/>
          <w:jc w:val="center"/>
        </w:trPr>
        <w:tc>
          <w:tcPr>
            <w:tcW w:w="908" w:type="dxa"/>
            <w:vMerge/>
          </w:tcPr>
          <w:p w14:paraId="50EBEF9B" w14:textId="77777777" w:rsidR="00AB1F2E" w:rsidRPr="004E0431" w:rsidRDefault="00AB1F2E" w:rsidP="00475FA2">
            <w:pPr>
              <w:spacing w:before="120" w:line="276" w:lineRule="auto"/>
              <w:contextualSpacing/>
              <w:rPr>
                <w:sz w:val="20"/>
                <w:szCs w:val="20"/>
              </w:rPr>
            </w:pPr>
          </w:p>
        </w:tc>
        <w:tc>
          <w:tcPr>
            <w:tcW w:w="2040" w:type="dxa"/>
          </w:tcPr>
          <w:p w14:paraId="0653E6C7" w14:textId="77777777" w:rsidR="00AB1F2E" w:rsidRPr="004E0431" w:rsidRDefault="00AB1F2E" w:rsidP="00475FA2">
            <w:pPr>
              <w:spacing w:before="120" w:line="276" w:lineRule="auto"/>
              <w:contextualSpacing/>
              <w:rPr>
                <w:sz w:val="20"/>
                <w:szCs w:val="20"/>
              </w:rPr>
            </w:pPr>
            <w:r w:rsidRPr="004E0431">
              <w:rPr>
                <w:rFonts w:eastAsia="Arial"/>
                <w:sz w:val="20"/>
                <w:szCs w:val="20"/>
              </w:rPr>
              <w:t>Real Estate</w:t>
            </w:r>
          </w:p>
        </w:tc>
        <w:tc>
          <w:tcPr>
            <w:tcW w:w="1316" w:type="dxa"/>
          </w:tcPr>
          <w:p w14:paraId="5BC90F1F" w14:textId="77777777" w:rsidR="00AB1F2E" w:rsidRPr="004E0431" w:rsidRDefault="00AB1F2E" w:rsidP="00475FA2">
            <w:pPr>
              <w:spacing w:before="120" w:line="276" w:lineRule="auto"/>
              <w:contextualSpacing/>
              <w:jc w:val="right"/>
              <w:rPr>
                <w:sz w:val="20"/>
                <w:szCs w:val="20"/>
              </w:rPr>
            </w:pPr>
            <w:r w:rsidRPr="004E0431">
              <w:rPr>
                <w:rFonts w:eastAsia="Arial"/>
                <w:sz w:val="20"/>
                <w:szCs w:val="20"/>
              </w:rPr>
              <w:t>10</w:t>
            </w:r>
          </w:p>
        </w:tc>
        <w:tc>
          <w:tcPr>
            <w:tcW w:w="1260" w:type="dxa"/>
          </w:tcPr>
          <w:p w14:paraId="4B560642" w14:textId="77777777" w:rsidR="00AB1F2E" w:rsidRPr="004E0431" w:rsidRDefault="00AB1F2E" w:rsidP="00475FA2">
            <w:pPr>
              <w:spacing w:before="120" w:line="276" w:lineRule="auto"/>
              <w:contextualSpacing/>
              <w:jc w:val="right"/>
              <w:rPr>
                <w:sz w:val="20"/>
                <w:szCs w:val="20"/>
              </w:rPr>
            </w:pPr>
            <w:r w:rsidRPr="004E0431">
              <w:rPr>
                <w:rFonts w:eastAsia="Arial"/>
                <w:sz w:val="20"/>
                <w:szCs w:val="20"/>
              </w:rPr>
              <w:t>5.0</w:t>
            </w:r>
          </w:p>
        </w:tc>
        <w:tc>
          <w:tcPr>
            <w:tcW w:w="1594" w:type="dxa"/>
          </w:tcPr>
          <w:p w14:paraId="3E3ADE54" w14:textId="77777777" w:rsidR="00AB1F2E" w:rsidRPr="004E0431" w:rsidRDefault="00AB1F2E" w:rsidP="00475FA2">
            <w:pPr>
              <w:spacing w:before="120" w:line="276" w:lineRule="auto"/>
              <w:contextualSpacing/>
              <w:jc w:val="right"/>
              <w:rPr>
                <w:sz w:val="20"/>
                <w:szCs w:val="20"/>
              </w:rPr>
            </w:pPr>
            <w:r w:rsidRPr="004E0431">
              <w:rPr>
                <w:rFonts w:eastAsia="Arial"/>
                <w:sz w:val="20"/>
                <w:szCs w:val="20"/>
              </w:rPr>
              <w:t>5.0</w:t>
            </w:r>
          </w:p>
        </w:tc>
        <w:tc>
          <w:tcPr>
            <w:tcW w:w="1817" w:type="dxa"/>
          </w:tcPr>
          <w:p w14:paraId="737019E0" w14:textId="77777777" w:rsidR="00AB1F2E" w:rsidRPr="004E0431" w:rsidRDefault="00AB1F2E" w:rsidP="00475FA2">
            <w:pPr>
              <w:spacing w:before="120" w:line="276" w:lineRule="auto"/>
              <w:contextualSpacing/>
              <w:jc w:val="right"/>
              <w:rPr>
                <w:sz w:val="20"/>
                <w:szCs w:val="20"/>
              </w:rPr>
            </w:pPr>
            <w:r w:rsidRPr="004E0431">
              <w:rPr>
                <w:rFonts w:eastAsia="Arial"/>
                <w:sz w:val="20"/>
                <w:szCs w:val="20"/>
              </w:rPr>
              <w:t>96.0</w:t>
            </w:r>
          </w:p>
        </w:tc>
      </w:tr>
      <w:tr w:rsidR="004E0431" w:rsidRPr="004E0431" w14:paraId="5C77DC82" w14:textId="77777777" w:rsidTr="00493138">
        <w:trPr>
          <w:trHeight w:val="150"/>
          <w:jc w:val="center"/>
        </w:trPr>
        <w:tc>
          <w:tcPr>
            <w:tcW w:w="908" w:type="dxa"/>
            <w:vMerge/>
          </w:tcPr>
          <w:p w14:paraId="6D29BA42" w14:textId="77777777" w:rsidR="00AB1F2E" w:rsidRPr="004E0431" w:rsidRDefault="00AB1F2E" w:rsidP="00475FA2">
            <w:pPr>
              <w:spacing w:before="120" w:line="276" w:lineRule="auto"/>
              <w:contextualSpacing/>
              <w:rPr>
                <w:sz w:val="20"/>
                <w:szCs w:val="20"/>
              </w:rPr>
            </w:pPr>
          </w:p>
        </w:tc>
        <w:tc>
          <w:tcPr>
            <w:tcW w:w="2040" w:type="dxa"/>
          </w:tcPr>
          <w:p w14:paraId="74DB5CC6" w14:textId="77777777" w:rsidR="00AB1F2E" w:rsidRPr="004E0431" w:rsidRDefault="00AB1F2E" w:rsidP="00475FA2">
            <w:pPr>
              <w:spacing w:before="120" w:line="276" w:lineRule="auto"/>
              <w:contextualSpacing/>
              <w:rPr>
                <w:sz w:val="20"/>
                <w:szCs w:val="20"/>
              </w:rPr>
            </w:pPr>
            <w:r w:rsidRPr="004E0431">
              <w:rPr>
                <w:rFonts w:eastAsia="Arial"/>
                <w:sz w:val="20"/>
                <w:szCs w:val="20"/>
              </w:rPr>
              <w:t>Cryptocurrencies</w:t>
            </w:r>
          </w:p>
        </w:tc>
        <w:tc>
          <w:tcPr>
            <w:tcW w:w="1316" w:type="dxa"/>
          </w:tcPr>
          <w:p w14:paraId="1E83203A" w14:textId="77777777" w:rsidR="00AB1F2E" w:rsidRPr="004E0431" w:rsidRDefault="00AB1F2E" w:rsidP="00475FA2">
            <w:pPr>
              <w:spacing w:before="120" w:line="276" w:lineRule="auto"/>
              <w:contextualSpacing/>
              <w:jc w:val="right"/>
              <w:rPr>
                <w:sz w:val="20"/>
                <w:szCs w:val="20"/>
              </w:rPr>
            </w:pPr>
            <w:r w:rsidRPr="004E0431">
              <w:rPr>
                <w:rFonts w:eastAsia="Arial"/>
                <w:sz w:val="20"/>
                <w:szCs w:val="20"/>
              </w:rPr>
              <w:t>8</w:t>
            </w:r>
          </w:p>
        </w:tc>
        <w:tc>
          <w:tcPr>
            <w:tcW w:w="1260" w:type="dxa"/>
          </w:tcPr>
          <w:p w14:paraId="27781422" w14:textId="77777777" w:rsidR="00AB1F2E" w:rsidRPr="004E0431" w:rsidRDefault="00AB1F2E" w:rsidP="00475FA2">
            <w:pPr>
              <w:spacing w:before="120" w:line="276" w:lineRule="auto"/>
              <w:contextualSpacing/>
              <w:jc w:val="right"/>
              <w:rPr>
                <w:sz w:val="20"/>
                <w:szCs w:val="20"/>
              </w:rPr>
            </w:pPr>
            <w:r w:rsidRPr="004E0431">
              <w:rPr>
                <w:rFonts w:eastAsia="Arial"/>
                <w:sz w:val="20"/>
                <w:szCs w:val="20"/>
              </w:rPr>
              <w:t>4.0</w:t>
            </w:r>
          </w:p>
        </w:tc>
        <w:tc>
          <w:tcPr>
            <w:tcW w:w="1594" w:type="dxa"/>
          </w:tcPr>
          <w:p w14:paraId="44A925A2" w14:textId="77777777" w:rsidR="00AB1F2E" w:rsidRPr="004E0431" w:rsidRDefault="00AB1F2E" w:rsidP="00475FA2">
            <w:pPr>
              <w:spacing w:before="120" w:line="276" w:lineRule="auto"/>
              <w:contextualSpacing/>
              <w:jc w:val="right"/>
              <w:rPr>
                <w:sz w:val="20"/>
                <w:szCs w:val="20"/>
              </w:rPr>
            </w:pPr>
            <w:r w:rsidRPr="004E0431">
              <w:rPr>
                <w:rFonts w:eastAsia="Arial"/>
                <w:sz w:val="20"/>
                <w:szCs w:val="20"/>
              </w:rPr>
              <w:t>4.0</w:t>
            </w:r>
          </w:p>
        </w:tc>
        <w:tc>
          <w:tcPr>
            <w:tcW w:w="1817" w:type="dxa"/>
          </w:tcPr>
          <w:p w14:paraId="2815840E" w14:textId="77777777" w:rsidR="00AB1F2E" w:rsidRPr="004E0431" w:rsidRDefault="00AB1F2E" w:rsidP="00475FA2">
            <w:pPr>
              <w:spacing w:before="120" w:line="276" w:lineRule="auto"/>
              <w:contextualSpacing/>
              <w:jc w:val="right"/>
              <w:rPr>
                <w:sz w:val="20"/>
                <w:szCs w:val="20"/>
              </w:rPr>
            </w:pPr>
            <w:r w:rsidRPr="004E0431">
              <w:rPr>
                <w:rFonts w:eastAsia="Arial"/>
                <w:sz w:val="20"/>
                <w:szCs w:val="20"/>
              </w:rPr>
              <w:t>100.0</w:t>
            </w:r>
          </w:p>
        </w:tc>
      </w:tr>
      <w:tr w:rsidR="004E0431" w:rsidRPr="004E0431" w14:paraId="7DA3BF6F" w14:textId="77777777" w:rsidTr="00493138">
        <w:trPr>
          <w:trHeight w:val="150"/>
          <w:jc w:val="center"/>
        </w:trPr>
        <w:tc>
          <w:tcPr>
            <w:tcW w:w="908" w:type="dxa"/>
            <w:vMerge/>
          </w:tcPr>
          <w:p w14:paraId="7D5355BE" w14:textId="77777777" w:rsidR="00AB1F2E" w:rsidRPr="004E0431" w:rsidRDefault="00AB1F2E" w:rsidP="00475FA2">
            <w:pPr>
              <w:spacing w:before="120" w:line="276" w:lineRule="auto"/>
              <w:contextualSpacing/>
              <w:rPr>
                <w:sz w:val="20"/>
                <w:szCs w:val="20"/>
              </w:rPr>
            </w:pPr>
          </w:p>
        </w:tc>
        <w:tc>
          <w:tcPr>
            <w:tcW w:w="2040" w:type="dxa"/>
          </w:tcPr>
          <w:p w14:paraId="010D5728" w14:textId="77777777" w:rsidR="00AB1F2E" w:rsidRPr="004E0431" w:rsidRDefault="00AB1F2E" w:rsidP="00475FA2">
            <w:pPr>
              <w:spacing w:before="120" w:line="276" w:lineRule="auto"/>
              <w:contextualSpacing/>
              <w:rPr>
                <w:sz w:val="20"/>
                <w:szCs w:val="20"/>
              </w:rPr>
            </w:pPr>
            <w:r w:rsidRPr="004E0431">
              <w:rPr>
                <w:rFonts w:eastAsia="Arial"/>
                <w:sz w:val="20"/>
                <w:szCs w:val="20"/>
              </w:rPr>
              <w:t>Total</w:t>
            </w:r>
          </w:p>
        </w:tc>
        <w:tc>
          <w:tcPr>
            <w:tcW w:w="1316" w:type="dxa"/>
          </w:tcPr>
          <w:p w14:paraId="77D55A31" w14:textId="77777777" w:rsidR="00AB1F2E" w:rsidRPr="004E0431" w:rsidRDefault="00AB1F2E" w:rsidP="00475FA2">
            <w:pPr>
              <w:spacing w:before="120" w:line="276" w:lineRule="auto"/>
              <w:contextualSpacing/>
              <w:jc w:val="right"/>
              <w:rPr>
                <w:sz w:val="20"/>
                <w:szCs w:val="20"/>
              </w:rPr>
            </w:pPr>
            <w:r w:rsidRPr="004E0431">
              <w:rPr>
                <w:rFonts w:eastAsia="Arial"/>
                <w:sz w:val="20"/>
                <w:szCs w:val="20"/>
              </w:rPr>
              <w:t>200</w:t>
            </w:r>
          </w:p>
        </w:tc>
        <w:tc>
          <w:tcPr>
            <w:tcW w:w="1260" w:type="dxa"/>
          </w:tcPr>
          <w:p w14:paraId="4EF200A3" w14:textId="77777777" w:rsidR="00AB1F2E" w:rsidRPr="004E0431" w:rsidRDefault="00AB1F2E" w:rsidP="00475FA2">
            <w:pPr>
              <w:spacing w:before="120" w:line="276" w:lineRule="auto"/>
              <w:contextualSpacing/>
              <w:jc w:val="right"/>
              <w:rPr>
                <w:sz w:val="20"/>
                <w:szCs w:val="20"/>
              </w:rPr>
            </w:pPr>
            <w:r w:rsidRPr="004E0431">
              <w:rPr>
                <w:rFonts w:eastAsia="Arial"/>
                <w:sz w:val="20"/>
                <w:szCs w:val="20"/>
              </w:rPr>
              <w:t>100.0</w:t>
            </w:r>
          </w:p>
        </w:tc>
        <w:tc>
          <w:tcPr>
            <w:tcW w:w="1594" w:type="dxa"/>
          </w:tcPr>
          <w:p w14:paraId="350F55BE" w14:textId="77777777" w:rsidR="00AB1F2E" w:rsidRPr="004E0431" w:rsidRDefault="00AB1F2E" w:rsidP="00475FA2">
            <w:pPr>
              <w:spacing w:before="120" w:line="276" w:lineRule="auto"/>
              <w:contextualSpacing/>
              <w:jc w:val="right"/>
              <w:rPr>
                <w:sz w:val="20"/>
                <w:szCs w:val="20"/>
              </w:rPr>
            </w:pPr>
            <w:r w:rsidRPr="004E0431">
              <w:rPr>
                <w:rFonts w:eastAsia="Arial"/>
                <w:sz w:val="20"/>
                <w:szCs w:val="20"/>
              </w:rPr>
              <w:t>100.0</w:t>
            </w:r>
          </w:p>
        </w:tc>
        <w:tc>
          <w:tcPr>
            <w:tcW w:w="1817" w:type="dxa"/>
          </w:tcPr>
          <w:p w14:paraId="28591C69" w14:textId="77777777" w:rsidR="00AB1F2E" w:rsidRPr="004E0431" w:rsidRDefault="00AB1F2E" w:rsidP="00475FA2">
            <w:pPr>
              <w:spacing w:before="120" w:line="276" w:lineRule="auto"/>
              <w:contextualSpacing/>
              <w:rPr>
                <w:sz w:val="20"/>
                <w:szCs w:val="20"/>
              </w:rPr>
            </w:pPr>
          </w:p>
        </w:tc>
      </w:tr>
    </w:tbl>
    <w:p w14:paraId="6B4BA284" w14:textId="22339A1C" w:rsidR="00AB1F2E" w:rsidRPr="0001291E" w:rsidRDefault="00AB1F2E" w:rsidP="00475FA2">
      <w:pPr>
        <w:pStyle w:val="BodyText"/>
        <w:spacing w:before="120" w:line="276" w:lineRule="auto"/>
        <w:jc w:val="center"/>
        <w:rPr>
          <w:sz w:val="20"/>
          <w:szCs w:val="20"/>
        </w:rPr>
      </w:pPr>
      <w:r w:rsidRPr="0001291E">
        <w:rPr>
          <w:noProof/>
          <w:sz w:val="20"/>
          <w:szCs w:val="20"/>
          <w:lang w:val="en-IN" w:eastAsia="en-IN"/>
        </w:rPr>
        <w:drawing>
          <wp:inline distT="0" distB="0" distL="0" distR="0" wp14:anchorId="411DE5AC" wp14:editId="2F236AFB">
            <wp:extent cx="4076700" cy="2331720"/>
            <wp:effectExtent l="0" t="0" r="0" b="11430"/>
            <wp:docPr id="981719525" name="Chart 1">
              <a:extLst xmlns:a="http://schemas.openxmlformats.org/drawingml/2006/main">
                <a:ext uri="{FF2B5EF4-FFF2-40B4-BE49-F238E27FC236}">
                  <a16:creationId xmlns:a16="http://schemas.microsoft.com/office/drawing/2014/main" id="{813D2B5C-F7C7-713A-74CB-445E4ACBA4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BE78E98" w14:textId="77777777" w:rsidR="00475FA2" w:rsidRDefault="00475FA2" w:rsidP="00475FA2">
      <w:pPr>
        <w:pStyle w:val="BodyText"/>
        <w:spacing w:before="120" w:line="276" w:lineRule="auto"/>
        <w:jc w:val="both"/>
        <w:rPr>
          <w:sz w:val="20"/>
          <w:szCs w:val="20"/>
        </w:rPr>
        <w:sectPr w:rsidR="00475FA2" w:rsidSect="00475FA2">
          <w:type w:val="continuous"/>
          <w:pgSz w:w="12240" w:h="15840" w:code="1"/>
          <w:pgMar w:top="1440" w:right="1440" w:bottom="1440" w:left="1440" w:header="706" w:footer="706" w:gutter="0"/>
          <w:cols w:space="720"/>
          <w:docGrid w:linePitch="299"/>
        </w:sectPr>
      </w:pPr>
    </w:p>
    <w:p w14:paraId="48B49411" w14:textId="4F4F7A5A" w:rsidR="00AB1F2E" w:rsidRPr="0001291E" w:rsidRDefault="00AB1F2E" w:rsidP="00475FA2">
      <w:pPr>
        <w:pStyle w:val="BodyText"/>
        <w:spacing w:before="120" w:line="276" w:lineRule="auto"/>
        <w:jc w:val="both"/>
        <w:rPr>
          <w:sz w:val="20"/>
          <w:szCs w:val="20"/>
        </w:rPr>
      </w:pPr>
      <w:r w:rsidRPr="0001291E">
        <w:rPr>
          <w:sz w:val="20"/>
          <w:szCs w:val="20"/>
        </w:rPr>
        <w:t xml:space="preserve"> </w:t>
      </w:r>
      <w:r w:rsidRPr="0001291E">
        <w:rPr>
          <w:b/>
          <w:bCs/>
          <w:sz w:val="20"/>
          <w:szCs w:val="20"/>
        </w:rPr>
        <w:t>Interpretation:</w:t>
      </w:r>
    </w:p>
    <w:p w14:paraId="52A1243F" w14:textId="53F2FE62" w:rsidR="00AB1F2E" w:rsidRPr="0001291E" w:rsidRDefault="00AB1F2E" w:rsidP="00475FA2">
      <w:pPr>
        <w:spacing w:before="120" w:line="276" w:lineRule="auto"/>
        <w:jc w:val="both"/>
        <w:rPr>
          <w:sz w:val="20"/>
          <w:szCs w:val="20"/>
        </w:rPr>
      </w:pPr>
      <w:r w:rsidRPr="0001291E">
        <w:rPr>
          <w:sz w:val="20"/>
          <w:szCs w:val="20"/>
        </w:rPr>
        <w:t xml:space="preserve">The table below shows the distribution of financial instruments in which respondents invest. It is clear that 51% of respondents prefer stocks, making them the most popular investment choice, likely due to their high return potential and widespread availability. A significant portion, 34.5%, invest in mutual funds, indicating that many investors prefer professionally managed portfolios for diversification and risk management. A much smaller share, 5.5%, invest in bonds, reflecting a lower preference for fixed-income </w:t>
      </w:r>
      <w:r w:rsidRPr="0001291E">
        <w:rPr>
          <w:sz w:val="20"/>
          <w:szCs w:val="20"/>
        </w:rPr>
        <w:t>securities, possibly due to their lower returns compared to equities. Real estate investments account for 5%, suggesting that only a minority allocate funds toward property investments, likely due to high capital requirements. The least preferred investment option is cryptocurrencies, with only 4% of respondents investing in them, possibly due to concerns about volatility and regulatory uncertainty. Overall, the data indicates that market-based investments, particularly stocks and mutual funds, are the most widely chosen, while traditional and alternative investments hold a relatively smaller share.</w:t>
      </w:r>
    </w:p>
    <w:p w14:paraId="0D5644FF" w14:textId="77777777" w:rsidR="00475FA2" w:rsidRDefault="00475FA2" w:rsidP="00475FA2">
      <w:pPr>
        <w:pStyle w:val="BodyText"/>
        <w:spacing w:before="120" w:line="276" w:lineRule="auto"/>
        <w:jc w:val="both"/>
        <w:rPr>
          <w:rFonts w:eastAsia="Arial"/>
          <w:b/>
          <w:color w:val="010205"/>
          <w:sz w:val="20"/>
          <w:szCs w:val="20"/>
        </w:rPr>
        <w:sectPr w:rsidR="00475FA2" w:rsidSect="00475FA2">
          <w:type w:val="continuous"/>
          <w:pgSz w:w="12240" w:h="15840" w:code="1"/>
          <w:pgMar w:top="1440" w:right="1440" w:bottom="1440" w:left="1440" w:header="706" w:footer="706" w:gutter="0"/>
          <w:cols w:num="2" w:space="720"/>
          <w:docGrid w:linePitch="299"/>
        </w:sectPr>
      </w:pPr>
    </w:p>
    <w:p w14:paraId="3E41B958" w14:textId="580B9D9E" w:rsidR="00AF26A9" w:rsidRPr="0001291E" w:rsidRDefault="00AF26A9" w:rsidP="00475FA2">
      <w:pPr>
        <w:pStyle w:val="BodyText"/>
        <w:spacing w:before="120" w:line="276" w:lineRule="auto"/>
        <w:jc w:val="both"/>
        <w:rPr>
          <w:rFonts w:eastAsia="Arial"/>
          <w:b/>
          <w:color w:val="010205"/>
          <w:sz w:val="20"/>
          <w:szCs w:val="20"/>
        </w:rPr>
      </w:pPr>
      <w:r w:rsidRPr="0001291E">
        <w:rPr>
          <w:rFonts w:eastAsia="Arial"/>
          <w:b/>
          <w:color w:val="010205"/>
          <w:sz w:val="20"/>
          <w:szCs w:val="20"/>
        </w:rPr>
        <w:t xml:space="preserve">                  </w:t>
      </w:r>
    </w:p>
    <w:p w14:paraId="12BDED34" w14:textId="77777777" w:rsidR="00493138" w:rsidRDefault="00493138" w:rsidP="00475FA2">
      <w:pPr>
        <w:pStyle w:val="BodyText"/>
        <w:spacing w:before="120" w:line="276" w:lineRule="auto"/>
        <w:jc w:val="center"/>
        <w:rPr>
          <w:rFonts w:eastAsia="Arial"/>
          <w:b/>
          <w:color w:val="010205"/>
          <w:sz w:val="20"/>
          <w:szCs w:val="20"/>
        </w:rPr>
      </w:pPr>
    </w:p>
    <w:p w14:paraId="48EA24C7" w14:textId="731F4C45" w:rsidR="00AF26A9" w:rsidRPr="0001291E" w:rsidRDefault="00AF26A9" w:rsidP="00475FA2">
      <w:pPr>
        <w:pStyle w:val="BodyText"/>
        <w:spacing w:before="120" w:line="276" w:lineRule="auto"/>
        <w:jc w:val="center"/>
        <w:rPr>
          <w:rFonts w:eastAsia="Arial"/>
          <w:b/>
          <w:color w:val="010205"/>
          <w:sz w:val="20"/>
          <w:szCs w:val="20"/>
        </w:rPr>
      </w:pPr>
      <w:r w:rsidRPr="0001291E">
        <w:rPr>
          <w:rFonts w:eastAsia="Arial"/>
          <w:b/>
          <w:color w:val="010205"/>
          <w:sz w:val="20"/>
          <w:szCs w:val="20"/>
        </w:rPr>
        <w:lastRenderedPageBreak/>
        <w:t>What is your primary investment objective?</w:t>
      </w:r>
    </w:p>
    <w:tbl>
      <w:tblPr>
        <w:tblStyle w:val="TableGrid"/>
        <w:tblW w:w="0" w:type="auto"/>
        <w:jc w:val="center"/>
        <w:tblLayout w:type="fixed"/>
        <w:tblLook w:val="04A0" w:firstRow="1" w:lastRow="0" w:firstColumn="1" w:lastColumn="0" w:noHBand="0" w:noVBand="1"/>
      </w:tblPr>
      <w:tblGrid>
        <w:gridCol w:w="833"/>
        <w:gridCol w:w="2244"/>
        <w:gridCol w:w="1207"/>
        <w:gridCol w:w="1156"/>
        <w:gridCol w:w="1462"/>
        <w:gridCol w:w="1666"/>
      </w:tblGrid>
      <w:tr w:rsidR="004E0431" w:rsidRPr="004E0431" w14:paraId="321F822A" w14:textId="77777777" w:rsidTr="00AD3460">
        <w:trPr>
          <w:jc w:val="center"/>
        </w:trPr>
        <w:tc>
          <w:tcPr>
            <w:tcW w:w="3077" w:type="dxa"/>
            <w:gridSpan w:val="2"/>
          </w:tcPr>
          <w:p w14:paraId="4D99FC8C" w14:textId="77777777" w:rsidR="00AF26A9" w:rsidRPr="004E0431" w:rsidRDefault="00AF26A9" w:rsidP="00475FA2">
            <w:pPr>
              <w:spacing w:before="120" w:line="276" w:lineRule="auto"/>
              <w:contextualSpacing/>
              <w:rPr>
                <w:sz w:val="20"/>
                <w:szCs w:val="20"/>
              </w:rPr>
            </w:pPr>
          </w:p>
        </w:tc>
        <w:tc>
          <w:tcPr>
            <w:tcW w:w="1207" w:type="dxa"/>
          </w:tcPr>
          <w:p w14:paraId="277A54C9" w14:textId="77777777" w:rsidR="00AF26A9" w:rsidRPr="004E0431" w:rsidRDefault="00AF26A9" w:rsidP="00475FA2">
            <w:pPr>
              <w:spacing w:before="120" w:line="276" w:lineRule="auto"/>
              <w:contextualSpacing/>
              <w:jc w:val="center"/>
              <w:rPr>
                <w:sz w:val="20"/>
                <w:szCs w:val="20"/>
              </w:rPr>
            </w:pPr>
            <w:r w:rsidRPr="004E0431">
              <w:rPr>
                <w:rFonts w:eastAsia="Arial"/>
                <w:sz w:val="20"/>
                <w:szCs w:val="20"/>
              </w:rPr>
              <w:t>Frequency</w:t>
            </w:r>
          </w:p>
        </w:tc>
        <w:tc>
          <w:tcPr>
            <w:tcW w:w="1156" w:type="dxa"/>
          </w:tcPr>
          <w:p w14:paraId="1B137944" w14:textId="77777777" w:rsidR="00AF26A9" w:rsidRPr="004E0431" w:rsidRDefault="00AF26A9" w:rsidP="00475FA2">
            <w:pPr>
              <w:spacing w:before="120" w:line="276" w:lineRule="auto"/>
              <w:contextualSpacing/>
              <w:jc w:val="center"/>
              <w:rPr>
                <w:sz w:val="20"/>
                <w:szCs w:val="20"/>
              </w:rPr>
            </w:pPr>
            <w:r w:rsidRPr="004E0431">
              <w:rPr>
                <w:rFonts w:eastAsia="Arial"/>
                <w:sz w:val="20"/>
                <w:szCs w:val="20"/>
              </w:rPr>
              <w:t>Percent</w:t>
            </w:r>
          </w:p>
        </w:tc>
        <w:tc>
          <w:tcPr>
            <w:tcW w:w="1462" w:type="dxa"/>
          </w:tcPr>
          <w:p w14:paraId="551FDBCD" w14:textId="77777777" w:rsidR="00AF26A9" w:rsidRPr="004E0431" w:rsidRDefault="00AF26A9" w:rsidP="00475FA2">
            <w:pPr>
              <w:spacing w:before="120" w:line="276" w:lineRule="auto"/>
              <w:contextualSpacing/>
              <w:jc w:val="center"/>
              <w:rPr>
                <w:sz w:val="20"/>
                <w:szCs w:val="20"/>
              </w:rPr>
            </w:pPr>
            <w:r w:rsidRPr="004E0431">
              <w:rPr>
                <w:rFonts w:eastAsia="Arial"/>
                <w:sz w:val="20"/>
                <w:szCs w:val="20"/>
              </w:rPr>
              <w:t>Valid Percent</w:t>
            </w:r>
          </w:p>
        </w:tc>
        <w:tc>
          <w:tcPr>
            <w:tcW w:w="1666" w:type="dxa"/>
          </w:tcPr>
          <w:p w14:paraId="424026DB" w14:textId="77777777" w:rsidR="00AF26A9" w:rsidRPr="004E0431" w:rsidRDefault="00AF26A9" w:rsidP="00475FA2">
            <w:pPr>
              <w:spacing w:before="120" w:line="276" w:lineRule="auto"/>
              <w:contextualSpacing/>
              <w:jc w:val="center"/>
              <w:rPr>
                <w:sz w:val="20"/>
                <w:szCs w:val="20"/>
              </w:rPr>
            </w:pPr>
            <w:r w:rsidRPr="004E0431">
              <w:rPr>
                <w:rFonts w:eastAsia="Arial"/>
                <w:sz w:val="20"/>
                <w:szCs w:val="20"/>
              </w:rPr>
              <w:t>Cumulative Percent</w:t>
            </w:r>
          </w:p>
        </w:tc>
      </w:tr>
      <w:tr w:rsidR="004E0431" w:rsidRPr="004E0431" w14:paraId="11675384" w14:textId="77777777" w:rsidTr="00AD3460">
        <w:trPr>
          <w:jc w:val="center"/>
        </w:trPr>
        <w:tc>
          <w:tcPr>
            <w:tcW w:w="833" w:type="dxa"/>
            <w:vMerge w:val="restart"/>
          </w:tcPr>
          <w:p w14:paraId="7DD16098" w14:textId="77777777" w:rsidR="00AF26A9" w:rsidRPr="004E0431" w:rsidRDefault="00AF26A9" w:rsidP="00475FA2">
            <w:pPr>
              <w:spacing w:before="120" w:line="276" w:lineRule="auto"/>
              <w:contextualSpacing/>
              <w:rPr>
                <w:sz w:val="20"/>
                <w:szCs w:val="20"/>
              </w:rPr>
            </w:pPr>
            <w:r w:rsidRPr="004E0431">
              <w:rPr>
                <w:rFonts w:eastAsia="Arial"/>
                <w:sz w:val="20"/>
                <w:szCs w:val="20"/>
              </w:rPr>
              <w:t>Valid</w:t>
            </w:r>
          </w:p>
        </w:tc>
        <w:tc>
          <w:tcPr>
            <w:tcW w:w="2244" w:type="dxa"/>
          </w:tcPr>
          <w:p w14:paraId="6473912A" w14:textId="77777777" w:rsidR="00AF26A9" w:rsidRPr="004E0431" w:rsidRDefault="00AF26A9" w:rsidP="00475FA2">
            <w:pPr>
              <w:spacing w:before="120" w:line="276" w:lineRule="auto"/>
              <w:contextualSpacing/>
              <w:rPr>
                <w:sz w:val="20"/>
                <w:szCs w:val="20"/>
              </w:rPr>
            </w:pPr>
            <w:r w:rsidRPr="004E0431">
              <w:rPr>
                <w:rFonts w:eastAsia="Arial"/>
                <w:sz w:val="20"/>
                <w:szCs w:val="20"/>
              </w:rPr>
              <w:t>Capital Appreciation</w:t>
            </w:r>
          </w:p>
        </w:tc>
        <w:tc>
          <w:tcPr>
            <w:tcW w:w="1207" w:type="dxa"/>
          </w:tcPr>
          <w:p w14:paraId="4094F277" w14:textId="77777777" w:rsidR="00AF26A9" w:rsidRPr="004E0431" w:rsidRDefault="00AF26A9" w:rsidP="00475FA2">
            <w:pPr>
              <w:spacing w:before="120" w:line="276" w:lineRule="auto"/>
              <w:contextualSpacing/>
              <w:jc w:val="right"/>
              <w:rPr>
                <w:sz w:val="20"/>
                <w:szCs w:val="20"/>
              </w:rPr>
            </w:pPr>
            <w:r w:rsidRPr="004E0431">
              <w:rPr>
                <w:rFonts w:eastAsia="Arial"/>
                <w:sz w:val="20"/>
                <w:szCs w:val="20"/>
              </w:rPr>
              <w:t>82</w:t>
            </w:r>
          </w:p>
        </w:tc>
        <w:tc>
          <w:tcPr>
            <w:tcW w:w="1156" w:type="dxa"/>
          </w:tcPr>
          <w:p w14:paraId="2D26A2E3" w14:textId="77777777" w:rsidR="00AF26A9" w:rsidRPr="004E0431" w:rsidRDefault="00AF26A9" w:rsidP="00475FA2">
            <w:pPr>
              <w:spacing w:before="120" w:line="276" w:lineRule="auto"/>
              <w:contextualSpacing/>
              <w:jc w:val="right"/>
              <w:rPr>
                <w:sz w:val="20"/>
                <w:szCs w:val="20"/>
              </w:rPr>
            </w:pPr>
            <w:r w:rsidRPr="004E0431">
              <w:rPr>
                <w:rFonts w:eastAsia="Arial"/>
                <w:sz w:val="20"/>
                <w:szCs w:val="20"/>
              </w:rPr>
              <w:t>41.0</w:t>
            </w:r>
          </w:p>
        </w:tc>
        <w:tc>
          <w:tcPr>
            <w:tcW w:w="1462" w:type="dxa"/>
          </w:tcPr>
          <w:p w14:paraId="3E43A845" w14:textId="77777777" w:rsidR="00AF26A9" w:rsidRPr="004E0431" w:rsidRDefault="00AF26A9" w:rsidP="00475FA2">
            <w:pPr>
              <w:spacing w:before="120" w:line="276" w:lineRule="auto"/>
              <w:contextualSpacing/>
              <w:jc w:val="right"/>
              <w:rPr>
                <w:sz w:val="20"/>
                <w:szCs w:val="20"/>
              </w:rPr>
            </w:pPr>
            <w:r w:rsidRPr="004E0431">
              <w:rPr>
                <w:rFonts w:eastAsia="Arial"/>
                <w:sz w:val="20"/>
                <w:szCs w:val="20"/>
              </w:rPr>
              <w:t>41.0</w:t>
            </w:r>
          </w:p>
        </w:tc>
        <w:tc>
          <w:tcPr>
            <w:tcW w:w="1666" w:type="dxa"/>
          </w:tcPr>
          <w:p w14:paraId="449B35AF" w14:textId="77777777" w:rsidR="00AF26A9" w:rsidRPr="004E0431" w:rsidRDefault="00AF26A9" w:rsidP="00475FA2">
            <w:pPr>
              <w:spacing w:before="120" w:line="276" w:lineRule="auto"/>
              <w:contextualSpacing/>
              <w:jc w:val="right"/>
              <w:rPr>
                <w:sz w:val="20"/>
                <w:szCs w:val="20"/>
              </w:rPr>
            </w:pPr>
            <w:r w:rsidRPr="004E0431">
              <w:rPr>
                <w:rFonts w:eastAsia="Arial"/>
                <w:sz w:val="20"/>
                <w:szCs w:val="20"/>
              </w:rPr>
              <w:t>41.0</w:t>
            </w:r>
          </w:p>
        </w:tc>
      </w:tr>
      <w:tr w:rsidR="004E0431" w:rsidRPr="004E0431" w14:paraId="54BAB506" w14:textId="77777777" w:rsidTr="00AD3460">
        <w:trPr>
          <w:jc w:val="center"/>
        </w:trPr>
        <w:tc>
          <w:tcPr>
            <w:tcW w:w="833" w:type="dxa"/>
            <w:vMerge/>
          </w:tcPr>
          <w:p w14:paraId="43FBB9BB" w14:textId="77777777" w:rsidR="00AF26A9" w:rsidRPr="004E0431" w:rsidRDefault="00AF26A9" w:rsidP="00475FA2">
            <w:pPr>
              <w:spacing w:before="120" w:line="276" w:lineRule="auto"/>
              <w:contextualSpacing/>
              <w:rPr>
                <w:sz w:val="20"/>
                <w:szCs w:val="20"/>
              </w:rPr>
            </w:pPr>
          </w:p>
        </w:tc>
        <w:tc>
          <w:tcPr>
            <w:tcW w:w="2244" w:type="dxa"/>
          </w:tcPr>
          <w:p w14:paraId="2B111F6A" w14:textId="77777777" w:rsidR="00AF26A9" w:rsidRPr="004E0431" w:rsidRDefault="00AF26A9" w:rsidP="00475FA2">
            <w:pPr>
              <w:spacing w:before="120" w:line="276" w:lineRule="auto"/>
              <w:contextualSpacing/>
              <w:rPr>
                <w:sz w:val="20"/>
                <w:szCs w:val="20"/>
              </w:rPr>
            </w:pPr>
            <w:r w:rsidRPr="004E0431">
              <w:rPr>
                <w:rFonts w:eastAsia="Arial"/>
                <w:sz w:val="20"/>
                <w:szCs w:val="20"/>
              </w:rPr>
              <w:t>Regular Income</w:t>
            </w:r>
          </w:p>
        </w:tc>
        <w:tc>
          <w:tcPr>
            <w:tcW w:w="1207" w:type="dxa"/>
          </w:tcPr>
          <w:p w14:paraId="4AEEEF3D" w14:textId="77777777" w:rsidR="00AF26A9" w:rsidRPr="004E0431" w:rsidRDefault="00AF26A9" w:rsidP="00475FA2">
            <w:pPr>
              <w:spacing w:before="120" w:line="276" w:lineRule="auto"/>
              <w:contextualSpacing/>
              <w:jc w:val="right"/>
              <w:rPr>
                <w:sz w:val="20"/>
                <w:szCs w:val="20"/>
              </w:rPr>
            </w:pPr>
            <w:r w:rsidRPr="004E0431">
              <w:rPr>
                <w:rFonts w:eastAsia="Arial"/>
                <w:sz w:val="20"/>
                <w:szCs w:val="20"/>
              </w:rPr>
              <w:t>58</w:t>
            </w:r>
          </w:p>
        </w:tc>
        <w:tc>
          <w:tcPr>
            <w:tcW w:w="1156" w:type="dxa"/>
          </w:tcPr>
          <w:p w14:paraId="4B5CC6CF" w14:textId="77777777" w:rsidR="00AF26A9" w:rsidRPr="004E0431" w:rsidRDefault="00AF26A9" w:rsidP="00475FA2">
            <w:pPr>
              <w:spacing w:before="120" w:line="276" w:lineRule="auto"/>
              <w:contextualSpacing/>
              <w:jc w:val="right"/>
              <w:rPr>
                <w:sz w:val="20"/>
                <w:szCs w:val="20"/>
              </w:rPr>
            </w:pPr>
            <w:r w:rsidRPr="004E0431">
              <w:rPr>
                <w:rFonts w:eastAsia="Arial"/>
                <w:sz w:val="20"/>
                <w:szCs w:val="20"/>
              </w:rPr>
              <w:t>29.0</w:t>
            </w:r>
          </w:p>
        </w:tc>
        <w:tc>
          <w:tcPr>
            <w:tcW w:w="1462" w:type="dxa"/>
          </w:tcPr>
          <w:p w14:paraId="4143D043" w14:textId="77777777" w:rsidR="00AF26A9" w:rsidRPr="004E0431" w:rsidRDefault="00AF26A9" w:rsidP="00475FA2">
            <w:pPr>
              <w:spacing w:before="120" w:line="276" w:lineRule="auto"/>
              <w:contextualSpacing/>
              <w:jc w:val="right"/>
              <w:rPr>
                <w:sz w:val="20"/>
                <w:szCs w:val="20"/>
              </w:rPr>
            </w:pPr>
            <w:r w:rsidRPr="004E0431">
              <w:rPr>
                <w:rFonts w:eastAsia="Arial"/>
                <w:sz w:val="20"/>
                <w:szCs w:val="20"/>
              </w:rPr>
              <w:t>29.0</w:t>
            </w:r>
          </w:p>
        </w:tc>
        <w:tc>
          <w:tcPr>
            <w:tcW w:w="1666" w:type="dxa"/>
          </w:tcPr>
          <w:p w14:paraId="619964BE" w14:textId="77777777" w:rsidR="00AF26A9" w:rsidRPr="004E0431" w:rsidRDefault="00AF26A9" w:rsidP="00475FA2">
            <w:pPr>
              <w:spacing w:before="120" w:line="276" w:lineRule="auto"/>
              <w:contextualSpacing/>
              <w:jc w:val="right"/>
              <w:rPr>
                <w:sz w:val="20"/>
                <w:szCs w:val="20"/>
              </w:rPr>
            </w:pPr>
            <w:r w:rsidRPr="004E0431">
              <w:rPr>
                <w:rFonts w:eastAsia="Arial"/>
                <w:sz w:val="20"/>
                <w:szCs w:val="20"/>
              </w:rPr>
              <w:t>70.0</w:t>
            </w:r>
          </w:p>
        </w:tc>
      </w:tr>
      <w:tr w:rsidR="004E0431" w:rsidRPr="004E0431" w14:paraId="24D0BB01" w14:textId="77777777" w:rsidTr="00AD3460">
        <w:trPr>
          <w:jc w:val="center"/>
        </w:trPr>
        <w:tc>
          <w:tcPr>
            <w:tcW w:w="833" w:type="dxa"/>
            <w:vMerge/>
          </w:tcPr>
          <w:p w14:paraId="19BF8584" w14:textId="77777777" w:rsidR="00AF26A9" w:rsidRPr="004E0431" w:rsidRDefault="00AF26A9" w:rsidP="00475FA2">
            <w:pPr>
              <w:spacing w:before="120" w:line="276" w:lineRule="auto"/>
              <w:contextualSpacing/>
              <w:rPr>
                <w:sz w:val="20"/>
                <w:szCs w:val="20"/>
              </w:rPr>
            </w:pPr>
          </w:p>
        </w:tc>
        <w:tc>
          <w:tcPr>
            <w:tcW w:w="2244" w:type="dxa"/>
          </w:tcPr>
          <w:p w14:paraId="6371E6BA" w14:textId="77777777" w:rsidR="00AF26A9" w:rsidRPr="004E0431" w:rsidRDefault="00AF26A9" w:rsidP="00475FA2">
            <w:pPr>
              <w:spacing w:before="120" w:line="276" w:lineRule="auto"/>
              <w:contextualSpacing/>
              <w:rPr>
                <w:sz w:val="20"/>
                <w:szCs w:val="20"/>
              </w:rPr>
            </w:pPr>
            <w:r w:rsidRPr="004E0431">
              <w:rPr>
                <w:rFonts w:eastAsia="Arial"/>
                <w:sz w:val="20"/>
                <w:szCs w:val="20"/>
              </w:rPr>
              <w:t>Tax Savings</w:t>
            </w:r>
          </w:p>
        </w:tc>
        <w:tc>
          <w:tcPr>
            <w:tcW w:w="1207" w:type="dxa"/>
          </w:tcPr>
          <w:p w14:paraId="23AD5C3E" w14:textId="77777777" w:rsidR="00AF26A9" w:rsidRPr="004E0431" w:rsidRDefault="00AF26A9" w:rsidP="00475FA2">
            <w:pPr>
              <w:spacing w:before="120" w:line="276" w:lineRule="auto"/>
              <w:contextualSpacing/>
              <w:jc w:val="right"/>
              <w:rPr>
                <w:sz w:val="20"/>
                <w:szCs w:val="20"/>
              </w:rPr>
            </w:pPr>
            <w:r w:rsidRPr="004E0431">
              <w:rPr>
                <w:rFonts w:eastAsia="Arial"/>
                <w:sz w:val="20"/>
                <w:szCs w:val="20"/>
              </w:rPr>
              <w:t>16</w:t>
            </w:r>
          </w:p>
        </w:tc>
        <w:tc>
          <w:tcPr>
            <w:tcW w:w="1156" w:type="dxa"/>
          </w:tcPr>
          <w:p w14:paraId="4CB874DD" w14:textId="77777777" w:rsidR="00AF26A9" w:rsidRPr="004E0431" w:rsidRDefault="00AF26A9" w:rsidP="00475FA2">
            <w:pPr>
              <w:spacing w:before="120" w:line="276" w:lineRule="auto"/>
              <w:contextualSpacing/>
              <w:jc w:val="right"/>
              <w:rPr>
                <w:sz w:val="20"/>
                <w:szCs w:val="20"/>
              </w:rPr>
            </w:pPr>
            <w:r w:rsidRPr="004E0431">
              <w:rPr>
                <w:rFonts w:eastAsia="Arial"/>
                <w:sz w:val="20"/>
                <w:szCs w:val="20"/>
              </w:rPr>
              <w:t>8.0</w:t>
            </w:r>
          </w:p>
        </w:tc>
        <w:tc>
          <w:tcPr>
            <w:tcW w:w="1462" w:type="dxa"/>
          </w:tcPr>
          <w:p w14:paraId="5B6820EB" w14:textId="77777777" w:rsidR="00AF26A9" w:rsidRPr="004E0431" w:rsidRDefault="00AF26A9" w:rsidP="00475FA2">
            <w:pPr>
              <w:spacing w:before="120" w:line="276" w:lineRule="auto"/>
              <w:contextualSpacing/>
              <w:jc w:val="right"/>
              <w:rPr>
                <w:sz w:val="20"/>
                <w:szCs w:val="20"/>
              </w:rPr>
            </w:pPr>
            <w:r w:rsidRPr="004E0431">
              <w:rPr>
                <w:rFonts w:eastAsia="Arial"/>
                <w:sz w:val="20"/>
                <w:szCs w:val="20"/>
              </w:rPr>
              <w:t>8.0</w:t>
            </w:r>
          </w:p>
        </w:tc>
        <w:tc>
          <w:tcPr>
            <w:tcW w:w="1666" w:type="dxa"/>
          </w:tcPr>
          <w:p w14:paraId="44C3C105" w14:textId="77777777" w:rsidR="00AF26A9" w:rsidRPr="004E0431" w:rsidRDefault="00AF26A9" w:rsidP="00475FA2">
            <w:pPr>
              <w:spacing w:before="120" w:line="276" w:lineRule="auto"/>
              <w:contextualSpacing/>
              <w:jc w:val="right"/>
              <w:rPr>
                <w:sz w:val="20"/>
                <w:szCs w:val="20"/>
              </w:rPr>
            </w:pPr>
            <w:r w:rsidRPr="004E0431">
              <w:rPr>
                <w:rFonts w:eastAsia="Arial"/>
                <w:sz w:val="20"/>
                <w:szCs w:val="20"/>
              </w:rPr>
              <w:t>78.0</w:t>
            </w:r>
          </w:p>
        </w:tc>
      </w:tr>
      <w:tr w:rsidR="004E0431" w:rsidRPr="004E0431" w14:paraId="0B9B0619" w14:textId="77777777" w:rsidTr="00AD3460">
        <w:trPr>
          <w:jc w:val="center"/>
        </w:trPr>
        <w:tc>
          <w:tcPr>
            <w:tcW w:w="833" w:type="dxa"/>
            <w:vMerge/>
          </w:tcPr>
          <w:p w14:paraId="76A2D533" w14:textId="77777777" w:rsidR="00AF26A9" w:rsidRPr="004E0431" w:rsidRDefault="00AF26A9" w:rsidP="00475FA2">
            <w:pPr>
              <w:spacing w:before="120" w:line="276" w:lineRule="auto"/>
              <w:contextualSpacing/>
              <w:rPr>
                <w:sz w:val="20"/>
                <w:szCs w:val="20"/>
              </w:rPr>
            </w:pPr>
          </w:p>
        </w:tc>
        <w:tc>
          <w:tcPr>
            <w:tcW w:w="2244" w:type="dxa"/>
          </w:tcPr>
          <w:p w14:paraId="5FD9FC70" w14:textId="77777777" w:rsidR="00AF26A9" w:rsidRPr="004E0431" w:rsidRDefault="00AF26A9" w:rsidP="00475FA2">
            <w:pPr>
              <w:spacing w:before="120" w:line="276" w:lineRule="auto"/>
              <w:contextualSpacing/>
              <w:rPr>
                <w:sz w:val="20"/>
                <w:szCs w:val="20"/>
              </w:rPr>
            </w:pPr>
            <w:r w:rsidRPr="004E0431">
              <w:rPr>
                <w:rFonts w:eastAsia="Arial"/>
                <w:sz w:val="20"/>
                <w:szCs w:val="20"/>
              </w:rPr>
              <w:t>Sustainable Investing</w:t>
            </w:r>
          </w:p>
        </w:tc>
        <w:tc>
          <w:tcPr>
            <w:tcW w:w="1207" w:type="dxa"/>
          </w:tcPr>
          <w:p w14:paraId="48B638B7" w14:textId="77777777" w:rsidR="00AF26A9" w:rsidRPr="004E0431" w:rsidRDefault="00AF26A9" w:rsidP="00475FA2">
            <w:pPr>
              <w:spacing w:before="120" w:line="276" w:lineRule="auto"/>
              <w:contextualSpacing/>
              <w:jc w:val="right"/>
              <w:rPr>
                <w:sz w:val="20"/>
                <w:szCs w:val="20"/>
              </w:rPr>
            </w:pPr>
            <w:r w:rsidRPr="004E0431">
              <w:rPr>
                <w:rFonts w:eastAsia="Arial"/>
                <w:sz w:val="20"/>
                <w:szCs w:val="20"/>
              </w:rPr>
              <w:t>44</w:t>
            </w:r>
          </w:p>
        </w:tc>
        <w:tc>
          <w:tcPr>
            <w:tcW w:w="1156" w:type="dxa"/>
          </w:tcPr>
          <w:p w14:paraId="11AAB121" w14:textId="77777777" w:rsidR="00AF26A9" w:rsidRPr="004E0431" w:rsidRDefault="00AF26A9" w:rsidP="00475FA2">
            <w:pPr>
              <w:spacing w:before="120" w:line="276" w:lineRule="auto"/>
              <w:contextualSpacing/>
              <w:jc w:val="right"/>
              <w:rPr>
                <w:sz w:val="20"/>
                <w:szCs w:val="20"/>
              </w:rPr>
            </w:pPr>
            <w:r w:rsidRPr="004E0431">
              <w:rPr>
                <w:rFonts w:eastAsia="Arial"/>
                <w:sz w:val="20"/>
                <w:szCs w:val="20"/>
              </w:rPr>
              <w:t>22.0</w:t>
            </w:r>
          </w:p>
        </w:tc>
        <w:tc>
          <w:tcPr>
            <w:tcW w:w="1462" w:type="dxa"/>
          </w:tcPr>
          <w:p w14:paraId="5C5A0100" w14:textId="77777777" w:rsidR="00AF26A9" w:rsidRPr="004E0431" w:rsidRDefault="00AF26A9" w:rsidP="00475FA2">
            <w:pPr>
              <w:spacing w:before="120" w:line="276" w:lineRule="auto"/>
              <w:contextualSpacing/>
              <w:jc w:val="right"/>
              <w:rPr>
                <w:sz w:val="20"/>
                <w:szCs w:val="20"/>
              </w:rPr>
            </w:pPr>
            <w:r w:rsidRPr="004E0431">
              <w:rPr>
                <w:rFonts w:eastAsia="Arial"/>
                <w:sz w:val="20"/>
                <w:szCs w:val="20"/>
              </w:rPr>
              <w:t>22.0</w:t>
            </w:r>
          </w:p>
        </w:tc>
        <w:tc>
          <w:tcPr>
            <w:tcW w:w="1666" w:type="dxa"/>
          </w:tcPr>
          <w:p w14:paraId="03E537D1" w14:textId="77777777" w:rsidR="00AF26A9" w:rsidRPr="004E0431" w:rsidRDefault="00AF26A9" w:rsidP="00475FA2">
            <w:pPr>
              <w:spacing w:before="120" w:line="276" w:lineRule="auto"/>
              <w:contextualSpacing/>
              <w:jc w:val="right"/>
              <w:rPr>
                <w:sz w:val="20"/>
                <w:szCs w:val="20"/>
              </w:rPr>
            </w:pPr>
            <w:r w:rsidRPr="004E0431">
              <w:rPr>
                <w:rFonts w:eastAsia="Arial"/>
                <w:sz w:val="20"/>
                <w:szCs w:val="20"/>
              </w:rPr>
              <w:t>100.0</w:t>
            </w:r>
          </w:p>
        </w:tc>
      </w:tr>
      <w:tr w:rsidR="004E0431" w:rsidRPr="004E0431" w14:paraId="1DEE5503" w14:textId="77777777" w:rsidTr="00AD3460">
        <w:trPr>
          <w:jc w:val="center"/>
        </w:trPr>
        <w:tc>
          <w:tcPr>
            <w:tcW w:w="833" w:type="dxa"/>
            <w:vMerge/>
          </w:tcPr>
          <w:p w14:paraId="5545B743" w14:textId="77777777" w:rsidR="00AF26A9" w:rsidRPr="004E0431" w:rsidRDefault="00AF26A9" w:rsidP="00475FA2">
            <w:pPr>
              <w:spacing w:before="120" w:line="276" w:lineRule="auto"/>
              <w:contextualSpacing/>
              <w:rPr>
                <w:sz w:val="20"/>
                <w:szCs w:val="20"/>
              </w:rPr>
            </w:pPr>
          </w:p>
        </w:tc>
        <w:tc>
          <w:tcPr>
            <w:tcW w:w="2244" w:type="dxa"/>
          </w:tcPr>
          <w:p w14:paraId="6E94586F" w14:textId="77777777" w:rsidR="00AF26A9" w:rsidRPr="004E0431" w:rsidRDefault="00AF26A9" w:rsidP="00475FA2">
            <w:pPr>
              <w:spacing w:before="120" w:line="276" w:lineRule="auto"/>
              <w:contextualSpacing/>
              <w:rPr>
                <w:sz w:val="20"/>
                <w:szCs w:val="20"/>
              </w:rPr>
            </w:pPr>
            <w:r w:rsidRPr="004E0431">
              <w:rPr>
                <w:rFonts w:eastAsia="Arial"/>
                <w:sz w:val="20"/>
                <w:szCs w:val="20"/>
              </w:rPr>
              <w:t>Total</w:t>
            </w:r>
          </w:p>
        </w:tc>
        <w:tc>
          <w:tcPr>
            <w:tcW w:w="1207" w:type="dxa"/>
          </w:tcPr>
          <w:p w14:paraId="4C118506" w14:textId="77777777" w:rsidR="00AF26A9" w:rsidRPr="004E0431" w:rsidRDefault="00AF26A9" w:rsidP="00475FA2">
            <w:pPr>
              <w:spacing w:before="120" w:line="276" w:lineRule="auto"/>
              <w:contextualSpacing/>
              <w:jc w:val="right"/>
              <w:rPr>
                <w:sz w:val="20"/>
                <w:szCs w:val="20"/>
              </w:rPr>
            </w:pPr>
            <w:r w:rsidRPr="004E0431">
              <w:rPr>
                <w:rFonts w:eastAsia="Arial"/>
                <w:sz w:val="20"/>
                <w:szCs w:val="20"/>
              </w:rPr>
              <w:t>200</w:t>
            </w:r>
          </w:p>
        </w:tc>
        <w:tc>
          <w:tcPr>
            <w:tcW w:w="1156" w:type="dxa"/>
          </w:tcPr>
          <w:p w14:paraId="572903D5" w14:textId="77777777" w:rsidR="00AF26A9" w:rsidRPr="004E0431" w:rsidRDefault="00AF26A9" w:rsidP="00475FA2">
            <w:pPr>
              <w:spacing w:before="120" w:line="276" w:lineRule="auto"/>
              <w:contextualSpacing/>
              <w:jc w:val="right"/>
              <w:rPr>
                <w:sz w:val="20"/>
                <w:szCs w:val="20"/>
              </w:rPr>
            </w:pPr>
            <w:r w:rsidRPr="004E0431">
              <w:rPr>
                <w:rFonts w:eastAsia="Arial"/>
                <w:sz w:val="20"/>
                <w:szCs w:val="20"/>
              </w:rPr>
              <w:t>100.0</w:t>
            </w:r>
          </w:p>
        </w:tc>
        <w:tc>
          <w:tcPr>
            <w:tcW w:w="1462" w:type="dxa"/>
          </w:tcPr>
          <w:p w14:paraId="5B84D540" w14:textId="77777777" w:rsidR="00AF26A9" w:rsidRPr="004E0431" w:rsidRDefault="00AF26A9" w:rsidP="00475FA2">
            <w:pPr>
              <w:spacing w:before="120" w:line="276" w:lineRule="auto"/>
              <w:contextualSpacing/>
              <w:jc w:val="right"/>
              <w:rPr>
                <w:sz w:val="20"/>
                <w:szCs w:val="20"/>
              </w:rPr>
            </w:pPr>
            <w:r w:rsidRPr="004E0431">
              <w:rPr>
                <w:rFonts w:eastAsia="Arial"/>
                <w:sz w:val="20"/>
                <w:szCs w:val="20"/>
              </w:rPr>
              <w:t>100.0</w:t>
            </w:r>
          </w:p>
        </w:tc>
        <w:tc>
          <w:tcPr>
            <w:tcW w:w="1666" w:type="dxa"/>
          </w:tcPr>
          <w:p w14:paraId="11F5CE0C" w14:textId="77777777" w:rsidR="00AF26A9" w:rsidRPr="004E0431" w:rsidRDefault="00AF26A9" w:rsidP="00475FA2">
            <w:pPr>
              <w:spacing w:before="120" w:line="276" w:lineRule="auto"/>
              <w:contextualSpacing/>
              <w:rPr>
                <w:sz w:val="20"/>
                <w:szCs w:val="20"/>
              </w:rPr>
            </w:pPr>
          </w:p>
        </w:tc>
      </w:tr>
    </w:tbl>
    <w:p w14:paraId="29830D30" w14:textId="7CCBE9A9" w:rsidR="00AF26A9" w:rsidRPr="0001291E" w:rsidRDefault="00AF26A9" w:rsidP="00475FA2">
      <w:pPr>
        <w:pStyle w:val="BodyText"/>
        <w:spacing w:before="120" w:line="276" w:lineRule="auto"/>
        <w:jc w:val="center"/>
        <w:rPr>
          <w:sz w:val="20"/>
          <w:szCs w:val="20"/>
        </w:rPr>
      </w:pPr>
      <w:r w:rsidRPr="0001291E">
        <w:rPr>
          <w:noProof/>
          <w:sz w:val="20"/>
          <w:szCs w:val="20"/>
          <w:lang w:val="en-IN" w:eastAsia="en-IN"/>
        </w:rPr>
        <w:drawing>
          <wp:inline distT="0" distB="0" distL="0" distR="0" wp14:anchorId="78CAD155" wp14:editId="0C32A6C6">
            <wp:extent cx="4305300" cy="2240280"/>
            <wp:effectExtent l="0" t="0" r="0" b="7620"/>
            <wp:docPr id="803327118" name="Chart 1">
              <a:extLst xmlns:a="http://schemas.openxmlformats.org/drawingml/2006/main">
                <a:ext uri="{FF2B5EF4-FFF2-40B4-BE49-F238E27FC236}">
                  <a16:creationId xmlns:a16="http://schemas.microsoft.com/office/drawing/2014/main" id="{BAED75CE-F238-0598-02BD-B3A79A29DF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5DCDE77" w14:textId="77777777" w:rsidR="00475FA2" w:rsidRDefault="00475FA2" w:rsidP="00475FA2">
      <w:pPr>
        <w:pBdr>
          <w:top w:val="nil"/>
          <w:left w:val="nil"/>
          <w:bottom w:val="nil"/>
          <w:right w:val="nil"/>
          <w:between w:val="nil"/>
        </w:pBdr>
        <w:spacing w:before="120" w:line="276" w:lineRule="auto"/>
        <w:rPr>
          <w:b/>
          <w:color w:val="000000"/>
          <w:sz w:val="20"/>
          <w:szCs w:val="20"/>
        </w:rPr>
        <w:sectPr w:rsidR="00475FA2" w:rsidSect="00475FA2">
          <w:type w:val="continuous"/>
          <w:pgSz w:w="12240" w:h="15840" w:code="1"/>
          <w:pgMar w:top="1440" w:right="1440" w:bottom="1440" w:left="1440" w:header="706" w:footer="706" w:gutter="0"/>
          <w:cols w:space="720"/>
          <w:docGrid w:linePitch="299"/>
        </w:sectPr>
      </w:pPr>
    </w:p>
    <w:p w14:paraId="3C29CAB3" w14:textId="77777777" w:rsidR="00AF26A9" w:rsidRPr="0001291E" w:rsidRDefault="00AF26A9" w:rsidP="00475FA2">
      <w:pPr>
        <w:pBdr>
          <w:top w:val="nil"/>
          <w:left w:val="nil"/>
          <w:bottom w:val="nil"/>
          <w:right w:val="nil"/>
          <w:between w:val="nil"/>
        </w:pBdr>
        <w:spacing w:before="120" w:line="276" w:lineRule="auto"/>
        <w:rPr>
          <w:b/>
          <w:color w:val="000000"/>
          <w:sz w:val="20"/>
          <w:szCs w:val="20"/>
        </w:rPr>
      </w:pPr>
      <w:r w:rsidRPr="0001291E">
        <w:rPr>
          <w:b/>
          <w:color w:val="000000"/>
          <w:sz w:val="20"/>
          <w:szCs w:val="20"/>
        </w:rPr>
        <w:t xml:space="preserve">Interpretation: </w:t>
      </w:r>
    </w:p>
    <w:p w14:paraId="161E3559" w14:textId="1ED3E45E" w:rsidR="00AF26A9" w:rsidRPr="0001291E" w:rsidRDefault="00AF26A9" w:rsidP="00475FA2">
      <w:pPr>
        <w:spacing w:before="120" w:line="276" w:lineRule="auto"/>
        <w:jc w:val="both"/>
        <w:rPr>
          <w:sz w:val="20"/>
          <w:szCs w:val="20"/>
        </w:rPr>
      </w:pPr>
      <w:r w:rsidRPr="0001291E">
        <w:rPr>
          <w:sz w:val="20"/>
          <w:szCs w:val="20"/>
        </w:rPr>
        <w:t xml:space="preserve">The table below shows the distribution of respondents' primary investment objectives. It is clear that 41% of respondents prioritize capital appreciation, indicating that the majority invest with the goal of long-term wealth accumulation, likely through stocks and growth-oriented assets. A significant portion, 29%, focus on regular income, suggesting a preference for income-generating investments such as bonds, dividends, or rental properties. A smaller share, 8%, </w:t>
      </w:r>
      <w:r w:rsidRPr="0001291E">
        <w:rPr>
          <w:sz w:val="20"/>
          <w:szCs w:val="20"/>
        </w:rPr>
        <w:t xml:space="preserve">invest primarily for tax savings, reflecting the use of tax-efficient investment instruments to optimize financial planning. Notably, 22% of respondents prioritize sustainable investing, demonstrating a growing awareness and preference for ESG-focused investments. Overall, the data indicates that while traditional financial goals such as wealth growth and income generation dominate, a considerable portion of investors are increasingly considering sustainability in their investment decisions. </w:t>
      </w:r>
    </w:p>
    <w:p w14:paraId="054F3D19" w14:textId="77777777" w:rsidR="00475FA2" w:rsidRDefault="00475FA2" w:rsidP="00475FA2">
      <w:pPr>
        <w:pStyle w:val="BodyText"/>
        <w:spacing w:before="120" w:line="276" w:lineRule="auto"/>
        <w:jc w:val="center"/>
        <w:rPr>
          <w:rFonts w:eastAsia="Arial"/>
          <w:b/>
          <w:color w:val="010205"/>
          <w:sz w:val="20"/>
          <w:szCs w:val="20"/>
        </w:rPr>
        <w:sectPr w:rsidR="00475FA2" w:rsidSect="00475FA2">
          <w:type w:val="continuous"/>
          <w:pgSz w:w="12240" w:h="15840" w:code="1"/>
          <w:pgMar w:top="1440" w:right="1440" w:bottom="1440" w:left="1440" w:header="706" w:footer="706" w:gutter="0"/>
          <w:cols w:num="2" w:space="720"/>
          <w:docGrid w:linePitch="299"/>
        </w:sectPr>
      </w:pPr>
    </w:p>
    <w:p w14:paraId="692E176F" w14:textId="77777777" w:rsidR="00AF26A9" w:rsidRPr="0001291E" w:rsidRDefault="00AF26A9" w:rsidP="00475FA2">
      <w:pPr>
        <w:pStyle w:val="BodyText"/>
        <w:spacing w:before="120" w:line="276" w:lineRule="auto"/>
        <w:jc w:val="center"/>
        <w:rPr>
          <w:sz w:val="20"/>
          <w:szCs w:val="20"/>
        </w:rPr>
      </w:pPr>
      <w:r w:rsidRPr="0001291E">
        <w:rPr>
          <w:rFonts w:eastAsia="Arial"/>
          <w:b/>
          <w:color w:val="010205"/>
          <w:sz w:val="20"/>
          <w:szCs w:val="20"/>
        </w:rPr>
        <w:t>How much of your portfolio is currently allocated to ESG-compliant investments?</w:t>
      </w:r>
      <w:r w:rsidRPr="0001291E">
        <w:rPr>
          <w:sz w:val="20"/>
          <w:szCs w:val="20"/>
        </w:rPr>
        <w:t xml:space="preserve">  </w:t>
      </w:r>
    </w:p>
    <w:tbl>
      <w:tblPr>
        <w:tblStyle w:val="TableGrid"/>
        <w:tblW w:w="0" w:type="auto"/>
        <w:jc w:val="center"/>
        <w:tblLayout w:type="fixed"/>
        <w:tblLook w:val="04A0" w:firstRow="1" w:lastRow="0" w:firstColumn="1" w:lastColumn="0" w:noHBand="0" w:noVBand="1"/>
      </w:tblPr>
      <w:tblGrid>
        <w:gridCol w:w="833"/>
        <w:gridCol w:w="1683"/>
        <w:gridCol w:w="1207"/>
        <w:gridCol w:w="1156"/>
        <w:gridCol w:w="1462"/>
        <w:gridCol w:w="2384"/>
      </w:tblGrid>
      <w:tr w:rsidR="004E0431" w:rsidRPr="004E0431" w14:paraId="27C01B45" w14:textId="77777777" w:rsidTr="00493138">
        <w:trPr>
          <w:jc w:val="center"/>
        </w:trPr>
        <w:tc>
          <w:tcPr>
            <w:tcW w:w="2516" w:type="dxa"/>
            <w:gridSpan w:val="2"/>
          </w:tcPr>
          <w:p w14:paraId="6BE84802" w14:textId="1B419A5E" w:rsidR="00AF26A9" w:rsidRPr="004E0431" w:rsidRDefault="00AF26A9" w:rsidP="00475FA2">
            <w:pPr>
              <w:spacing w:before="120" w:line="276" w:lineRule="auto"/>
              <w:contextualSpacing/>
              <w:rPr>
                <w:sz w:val="20"/>
                <w:szCs w:val="20"/>
              </w:rPr>
            </w:pPr>
            <w:r w:rsidRPr="0001291E">
              <w:rPr>
                <w:sz w:val="20"/>
                <w:szCs w:val="20"/>
              </w:rPr>
              <w:t xml:space="preserve"> </w:t>
            </w:r>
          </w:p>
        </w:tc>
        <w:tc>
          <w:tcPr>
            <w:tcW w:w="1207" w:type="dxa"/>
          </w:tcPr>
          <w:p w14:paraId="491F6173" w14:textId="77777777" w:rsidR="00AF26A9" w:rsidRPr="004E0431" w:rsidRDefault="00AF26A9" w:rsidP="00475FA2">
            <w:pPr>
              <w:spacing w:before="120" w:line="276" w:lineRule="auto"/>
              <w:contextualSpacing/>
              <w:jc w:val="center"/>
              <w:rPr>
                <w:sz w:val="20"/>
                <w:szCs w:val="20"/>
              </w:rPr>
            </w:pPr>
            <w:r w:rsidRPr="004E0431">
              <w:rPr>
                <w:rFonts w:eastAsia="Arial"/>
                <w:sz w:val="20"/>
                <w:szCs w:val="20"/>
              </w:rPr>
              <w:t>Frequency</w:t>
            </w:r>
          </w:p>
        </w:tc>
        <w:tc>
          <w:tcPr>
            <w:tcW w:w="1156" w:type="dxa"/>
          </w:tcPr>
          <w:p w14:paraId="53EA41D5" w14:textId="77777777" w:rsidR="00AF26A9" w:rsidRPr="004E0431" w:rsidRDefault="00AF26A9" w:rsidP="00475FA2">
            <w:pPr>
              <w:spacing w:before="120" w:line="276" w:lineRule="auto"/>
              <w:contextualSpacing/>
              <w:jc w:val="center"/>
              <w:rPr>
                <w:sz w:val="20"/>
                <w:szCs w:val="20"/>
              </w:rPr>
            </w:pPr>
            <w:r w:rsidRPr="004E0431">
              <w:rPr>
                <w:rFonts w:eastAsia="Arial"/>
                <w:sz w:val="20"/>
                <w:szCs w:val="20"/>
              </w:rPr>
              <w:t>Percent</w:t>
            </w:r>
          </w:p>
        </w:tc>
        <w:tc>
          <w:tcPr>
            <w:tcW w:w="1462" w:type="dxa"/>
          </w:tcPr>
          <w:p w14:paraId="5CEC660A" w14:textId="77777777" w:rsidR="00AF26A9" w:rsidRPr="004E0431" w:rsidRDefault="00AF26A9" w:rsidP="00475FA2">
            <w:pPr>
              <w:spacing w:before="120" w:line="276" w:lineRule="auto"/>
              <w:contextualSpacing/>
              <w:jc w:val="center"/>
              <w:rPr>
                <w:sz w:val="20"/>
                <w:szCs w:val="20"/>
              </w:rPr>
            </w:pPr>
            <w:r w:rsidRPr="004E0431">
              <w:rPr>
                <w:rFonts w:eastAsia="Arial"/>
                <w:sz w:val="20"/>
                <w:szCs w:val="20"/>
              </w:rPr>
              <w:t>Valid Percent</w:t>
            </w:r>
          </w:p>
        </w:tc>
        <w:tc>
          <w:tcPr>
            <w:tcW w:w="2384" w:type="dxa"/>
          </w:tcPr>
          <w:p w14:paraId="7413696B" w14:textId="77777777" w:rsidR="00AF26A9" w:rsidRPr="004E0431" w:rsidRDefault="00AF26A9" w:rsidP="00493138">
            <w:pPr>
              <w:spacing w:before="120" w:line="276" w:lineRule="auto"/>
              <w:contextualSpacing/>
              <w:rPr>
                <w:sz w:val="20"/>
                <w:szCs w:val="20"/>
              </w:rPr>
            </w:pPr>
            <w:r w:rsidRPr="004E0431">
              <w:rPr>
                <w:rFonts w:eastAsia="Arial"/>
                <w:sz w:val="20"/>
                <w:szCs w:val="20"/>
              </w:rPr>
              <w:t>Cumulative Percent</w:t>
            </w:r>
          </w:p>
        </w:tc>
      </w:tr>
      <w:tr w:rsidR="004E0431" w:rsidRPr="004E0431" w14:paraId="67102636" w14:textId="77777777" w:rsidTr="00493138">
        <w:trPr>
          <w:jc w:val="center"/>
        </w:trPr>
        <w:tc>
          <w:tcPr>
            <w:tcW w:w="833" w:type="dxa"/>
            <w:vMerge w:val="restart"/>
          </w:tcPr>
          <w:p w14:paraId="0FE2E10A" w14:textId="77777777" w:rsidR="00AF26A9" w:rsidRPr="004E0431" w:rsidRDefault="00AF26A9" w:rsidP="00475FA2">
            <w:pPr>
              <w:spacing w:before="120" w:line="276" w:lineRule="auto"/>
              <w:contextualSpacing/>
              <w:rPr>
                <w:sz w:val="20"/>
                <w:szCs w:val="20"/>
              </w:rPr>
            </w:pPr>
            <w:r w:rsidRPr="004E0431">
              <w:rPr>
                <w:rFonts w:eastAsia="Arial"/>
                <w:sz w:val="20"/>
                <w:szCs w:val="20"/>
              </w:rPr>
              <w:t>Valid</w:t>
            </w:r>
          </w:p>
        </w:tc>
        <w:tc>
          <w:tcPr>
            <w:tcW w:w="1683" w:type="dxa"/>
          </w:tcPr>
          <w:p w14:paraId="0DDFEE3D" w14:textId="77777777" w:rsidR="00AF26A9" w:rsidRPr="004E0431" w:rsidRDefault="00AF26A9" w:rsidP="00475FA2">
            <w:pPr>
              <w:spacing w:before="120" w:line="276" w:lineRule="auto"/>
              <w:contextualSpacing/>
              <w:rPr>
                <w:sz w:val="20"/>
                <w:szCs w:val="20"/>
              </w:rPr>
            </w:pPr>
            <w:r w:rsidRPr="004E0431">
              <w:rPr>
                <w:rFonts w:eastAsia="Arial"/>
                <w:sz w:val="20"/>
                <w:szCs w:val="20"/>
              </w:rPr>
              <w:t>None</w:t>
            </w:r>
          </w:p>
        </w:tc>
        <w:tc>
          <w:tcPr>
            <w:tcW w:w="1207" w:type="dxa"/>
          </w:tcPr>
          <w:p w14:paraId="62C35713" w14:textId="77777777" w:rsidR="00AF26A9" w:rsidRPr="004E0431" w:rsidRDefault="00AF26A9" w:rsidP="00475FA2">
            <w:pPr>
              <w:spacing w:before="120" w:line="276" w:lineRule="auto"/>
              <w:contextualSpacing/>
              <w:jc w:val="right"/>
              <w:rPr>
                <w:sz w:val="20"/>
                <w:szCs w:val="20"/>
              </w:rPr>
            </w:pPr>
            <w:r w:rsidRPr="004E0431">
              <w:rPr>
                <w:rFonts w:eastAsia="Arial"/>
                <w:sz w:val="20"/>
                <w:szCs w:val="20"/>
              </w:rPr>
              <w:t>86</w:t>
            </w:r>
          </w:p>
        </w:tc>
        <w:tc>
          <w:tcPr>
            <w:tcW w:w="1156" w:type="dxa"/>
          </w:tcPr>
          <w:p w14:paraId="7AF06797" w14:textId="77777777" w:rsidR="00AF26A9" w:rsidRPr="004E0431" w:rsidRDefault="00AF26A9" w:rsidP="00475FA2">
            <w:pPr>
              <w:spacing w:before="120" w:line="276" w:lineRule="auto"/>
              <w:contextualSpacing/>
              <w:jc w:val="right"/>
              <w:rPr>
                <w:sz w:val="20"/>
                <w:szCs w:val="20"/>
              </w:rPr>
            </w:pPr>
            <w:r w:rsidRPr="004E0431">
              <w:rPr>
                <w:rFonts w:eastAsia="Arial"/>
                <w:sz w:val="20"/>
                <w:szCs w:val="20"/>
              </w:rPr>
              <w:t>43.0</w:t>
            </w:r>
          </w:p>
        </w:tc>
        <w:tc>
          <w:tcPr>
            <w:tcW w:w="1462" w:type="dxa"/>
          </w:tcPr>
          <w:p w14:paraId="73C2F713" w14:textId="77777777" w:rsidR="00AF26A9" w:rsidRPr="004E0431" w:rsidRDefault="00AF26A9" w:rsidP="00475FA2">
            <w:pPr>
              <w:spacing w:before="120" w:line="276" w:lineRule="auto"/>
              <w:contextualSpacing/>
              <w:jc w:val="right"/>
              <w:rPr>
                <w:sz w:val="20"/>
                <w:szCs w:val="20"/>
              </w:rPr>
            </w:pPr>
            <w:r w:rsidRPr="004E0431">
              <w:rPr>
                <w:rFonts w:eastAsia="Arial"/>
                <w:sz w:val="20"/>
                <w:szCs w:val="20"/>
              </w:rPr>
              <w:t>43.0</w:t>
            </w:r>
          </w:p>
        </w:tc>
        <w:tc>
          <w:tcPr>
            <w:tcW w:w="2384" w:type="dxa"/>
          </w:tcPr>
          <w:p w14:paraId="198D9169" w14:textId="77777777" w:rsidR="00AF26A9" w:rsidRPr="004E0431" w:rsidRDefault="00AF26A9" w:rsidP="00475FA2">
            <w:pPr>
              <w:spacing w:before="120" w:line="276" w:lineRule="auto"/>
              <w:contextualSpacing/>
              <w:jc w:val="right"/>
              <w:rPr>
                <w:sz w:val="20"/>
                <w:szCs w:val="20"/>
              </w:rPr>
            </w:pPr>
            <w:r w:rsidRPr="004E0431">
              <w:rPr>
                <w:rFonts w:eastAsia="Arial"/>
                <w:sz w:val="20"/>
                <w:szCs w:val="20"/>
              </w:rPr>
              <w:t>43.0</w:t>
            </w:r>
          </w:p>
        </w:tc>
      </w:tr>
      <w:tr w:rsidR="004E0431" w:rsidRPr="004E0431" w14:paraId="1C0EE4FA" w14:textId="77777777" w:rsidTr="00493138">
        <w:trPr>
          <w:jc w:val="center"/>
        </w:trPr>
        <w:tc>
          <w:tcPr>
            <w:tcW w:w="833" w:type="dxa"/>
            <w:vMerge/>
          </w:tcPr>
          <w:p w14:paraId="7196C0E1" w14:textId="77777777" w:rsidR="00AF26A9" w:rsidRPr="004E0431" w:rsidRDefault="00AF26A9" w:rsidP="00475FA2">
            <w:pPr>
              <w:spacing w:before="120" w:line="276" w:lineRule="auto"/>
              <w:contextualSpacing/>
              <w:rPr>
                <w:sz w:val="20"/>
                <w:szCs w:val="20"/>
              </w:rPr>
            </w:pPr>
          </w:p>
        </w:tc>
        <w:tc>
          <w:tcPr>
            <w:tcW w:w="1683" w:type="dxa"/>
          </w:tcPr>
          <w:p w14:paraId="3F725AB8" w14:textId="77777777" w:rsidR="00AF26A9" w:rsidRPr="004E0431" w:rsidRDefault="00AF26A9" w:rsidP="00475FA2">
            <w:pPr>
              <w:spacing w:before="120" w:line="276" w:lineRule="auto"/>
              <w:contextualSpacing/>
              <w:rPr>
                <w:sz w:val="20"/>
                <w:szCs w:val="20"/>
              </w:rPr>
            </w:pPr>
            <w:r w:rsidRPr="004E0431">
              <w:rPr>
                <w:rFonts w:eastAsia="Arial"/>
                <w:sz w:val="20"/>
                <w:szCs w:val="20"/>
              </w:rPr>
              <w:t>Less than 25%</w:t>
            </w:r>
          </w:p>
        </w:tc>
        <w:tc>
          <w:tcPr>
            <w:tcW w:w="1207" w:type="dxa"/>
          </w:tcPr>
          <w:p w14:paraId="210F1CBD" w14:textId="77777777" w:rsidR="00AF26A9" w:rsidRPr="004E0431" w:rsidRDefault="00AF26A9" w:rsidP="00475FA2">
            <w:pPr>
              <w:spacing w:before="120" w:line="276" w:lineRule="auto"/>
              <w:contextualSpacing/>
              <w:jc w:val="right"/>
              <w:rPr>
                <w:sz w:val="20"/>
                <w:szCs w:val="20"/>
              </w:rPr>
            </w:pPr>
            <w:r w:rsidRPr="004E0431">
              <w:rPr>
                <w:rFonts w:eastAsia="Arial"/>
                <w:sz w:val="20"/>
                <w:szCs w:val="20"/>
              </w:rPr>
              <w:t>78</w:t>
            </w:r>
          </w:p>
        </w:tc>
        <w:tc>
          <w:tcPr>
            <w:tcW w:w="1156" w:type="dxa"/>
          </w:tcPr>
          <w:p w14:paraId="5BCE349B" w14:textId="77777777" w:rsidR="00AF26A9" w:rsidRPr="004E0431" w:rsidRDefault="00AF26A9" w:rsidP="00475FA2">
            <w:pPr>
              <w:spacing w:before="120" w:line="276" w:lineRule="auto"/>
              <w:contextualSpacing/>
              <w:jc w:val="right"/>
              <w:rPr>
                <w:sz w:val="20"/>
                <w:szCs w:val="20"/>
              </w:rPr>
            </w:pPr>
            <w:r w:rsidRPr="004E0431">
              <w:rPr>
                <w:rFonts w:eastAsia="Arial"/>
                <w:sz w:val="20"/>
                <w:szCs w:val="20"/>
              </w:rPr>
              <w:t>39.0</w:t>
            </w:r>
          </w:p>
        </w:tc>
        <w:tc>
          <w:tcPr>
            <w:tcW w:w="1462" w:type="dxa"/>
          </w:tcPr>
          <w:p w14:paraId="10C5161F" w14:textId="77777777" w:rsidR="00AF26A9" w:rsidRPr="004E0431" w:rsidRDefault="00AF26A9" w:rsidP="00475FA2">
            <w:pPr>
              <w:spacing w:before="120" w:line="276" w:lineRule="auto"/>
              <w:contextualSpacing/>
              <w:jc w:val="right"/>
              <w:rPr>
                <w:sz w:val="20"/>
                <w:szCs w:val="20"/>
              </w:rPr>
            </w:pPr>
            <w:r w:rsidRPr="004E0431">
              <w:rPr>
                <w:rFonts w:eastAsia="Arial"/>
                <w:sz w:val="20"/>
                <w:szCs w:val="20"/>
              </w:rPr>
              <w:t>39.0</w:t>
            </w:r>
          </w:p>
        </w:tc>
        <w:tc>
          <w:tcPr>
            <w:tcW w:w="2384" w:type="dxa"/>
          </w:tcPr>
          <w:p w14:paraId="73EE67BE" w14:textId="77777777" w:rsidR="00AF26A9" w:rsidRPr="004E0431" w:rsidRDefault="00AF26A9" w:rsidP="00475FA2">
            <w:pPr>
              <w:spacing w:before="120" w:line="276" w:lineRule="auto"/>
              <w:contextualSpacing/>
              <w:jc w:val="right"/>
              <w:rPr>
                <w:sz w:val="20"/>
                <w:szCs w:val="20"/>
              </w:rPr>
            </w:pPr>
            <w:r w:rsidRPr="004E0431">
              <w:rPr>
                <w:rFonts w:eastAsia="Arial"/>
                <w:sz w:val="20"/>
                <w:szCs w:val="20"/>
              </w:rPr>
              <w:t>82.0</w:t>
            </w:r>
          </w:p>
        </w:tc>
      </w:tr>
      <w:tr w:rsidR="004E0431" w:rsidRPr="004E0431" w14:paraId="04CC7BE1" w14:textId="77777777" w:rsidTr="00493138">
        <w:trPr>
          <w:jc w:val="center"/>
        </w:trPr>
        <w:tc>
          <w:tcPr>
            <w:tcW w:w="833" w:type="dxa"/>
            <w:vMerge/>
          </w:tcPr>
          <w:p w14:paraId="02731587" w14:textId="77777777" w:rsidR="00AF26A9" w:rsidRPr="004E0431" w:rsidRDefault="00AF26A9" w:rsidP="00475FA2">
            <w:pPr>
              <w:spacing w:before="120" w:line="276" w:lineRule="auto"/>
              <w:contextualSpacing/>
              <w:rPr>
                <w:sz w:val="20"/>
                <w:szCs w:val="20"/>
              </w:rPr>
            </w:pPr>
          </w:p>
        </w:tc>
        <w:tc>
          <w:tcPr>
            <w:tcW w:w="1683" w:type="dxa"/>
          </w:tcPr>
          <w:p w14:paraId="140D9331" w14:textId="77777777" w:rsidR="00AF26A9" w:rsidRPr="004E0431" w:rsidRDefault="00AF26A9" w:rsidP="00475FA2">
            <w:pPr>
              <w:spacing w:before="120" w:line="276" w:lineRule="auto"/>
              <w:contextualSpacing/>
              <w:rPr>
                <w:sz w:val="20"/>
                <w:szCs w:val="20"/>
              </w:rPr>
            </w:pPr>
            <w:r w:rsidRPr="004E0431">
              <w:rPr>
                <w:rFonts w:eastAsia="Arial"/>
                <w:sz w:val="20"/>
                <w:szCs w:val="20"/>
              </w:rPr>
              <w:t>25% - 50%</w:t>
            </w:r>
          </w:p>
        </w:tc>
        <w:tc>
          <w:tcPr>
            <w:tcW w:w="1207" w:type="dxa"/>
          </w:tcPr>
          <w:p w14:paraId="67D48CA7" w14:textId="77777777" w:rsidR="00AF26A9" w:rsidRPr="004E0431" w:rsidRDefault="00AF26A9" w:rsidP="00475FA2">
            <w:pPr>
              <w:spacing w:before="120" w:line="276" w:lineRule="auto"/>
              <w:contextualSpacing/>
              <w:jc w:val="right"/>
              <w:rPr>
                <w:sz w:val="20"/>
                <w:szCs w:val="20"/>
              </w:rPr>
            </w:pPr>
            <w:r w:rsidRPr="004E0431">
              <w:rPr>
                <w:rFonts w:eastAsia="Arial"/>
                <w:sz w:val="20"/>
                <w:szCs w:val="20"/>
              </w:rPr>
              <w:t>28</w:t>
            </w:r>
          </w:p>
        </w:tc>
        <w:tc>
          <w:tcPr>
            <w:tcW w:w="1156" w:type="dxa"/>
          </w:tcPr>
          <w:p w14:paraId="6024C8F2" w14:textId="77777777" w:rsidR="00AF26A9" w:rsidRPr="004E0431" w:rsidRDefault="00AF26A9" w:rsidP="00475FA2">
            <w:pPr>
              <w:spacing w:before="120" w:line="276" w:lineRule="auto"/>
              <w:contextualSpacing/>
              <w:jc w:val="right"/>
              <w:rPr>
                <w:sz w:val="20"/>
                <w:szCs w:val="20"/>
              </w:rPr>
            </w:pPr>
            <w:r w:rsidRPr="004E0431">
              <w:rPr>
                <w:rFonts w:eastAsia="Arial"/>
                <w:sz w:val="20"/>
                <w:szCs w:val="20"/>
              </w:rPr>
              <w:t>14.0</w:t>
            </w:r>
          </w:p>
        </w:tc>
        <w:tc>
          <w:tcPr>
            <w:tcW w:w="1462" w:type="dxa"/>
          </w:tcPr>
          <w:p w14:paraId="7E3DC36D" w14:textId="77777777" w:rsidR="00AF26A9" w:rsidRPr="004E0431" w:rsidRDefault="00AF26A9" w:rsidP="00475FA2">
            <w:pPr>
              <w:spacing w:before="120" w:line="276" w:lineRule="auto"/>
              <w:contextualSpacing/>
              <w:jc w:val="right"/>
              <w:rPr>
                <w:sz w:val="20"/>
                <w:szCs w:val="20"/>
              </w:rPr>
            </w:pPr>
            <w:r w:rsidRPr="004E0431">
              <w:rPr>
                <w:rFonts w:eastAsia="Arial"/>
                <w:sz w:val="20"/>
                <w:szCs w:val="20"/>
              </w:rPr>
              <w:t>14.0</w:t>
            </w:r>
          </w:p>
        </w:tc>
        <w:tc>
          <w:tcPr>
            <w:tcW w:w="2384" w:type="dxa"/>
          </w:tcPr>
          <w:p w14:paraId="227F32CC" w14:textId="77777777" w:rsidR="00AF26A9" w:rsidRPr="004E0431" w:rsidRDefault="00AF26A9" w:rsidP="00475FA2">
            <w:pPr>
              <w:spacing w:before="120" w:line="276" w:lineRule="auto"/>
              <w:contextualSpacing/>
              <w:jc w:val="right"/>
              <w:rPr>
                <w:sz w:val="20"/>
                <w:szCs w:val="20"/>
              </w:rPr>
            </w:pPr>
            <w:r w:rsidRPr="004E0431">
              <w:rPr>
                <w:rFonts w:eastAsia="Arial"/>
                <w:sz w:val="20"/>
                <w:szCs w:val="20"/>
              </w:rPr>
              <w:t>96.0</w:t>
            </w:r>
          </w:p>
        </w:tc>
      </w:tr>
      <w:tr w:rsidR="004E0431" w:rsidRPr="004E0431" w14:paraId="3C2F661A" w14:textId="77777777" w:rsidTr="00493138">
        <w:trPr>
          <w:jc w:val="center"/>
        </w:trPr>
        <w:tc>
          <w:tcPr>
            <w:tcW w:w="833" w:type="dxa"/>
            <w:vMerge/>
          </w:tcPr>
          <w:p w14:paraId="33B909F5" w14:textId="77777777" w:rsidR="00AF26A9" w:rsidRPr="004E0431" w:rsidRDefault="00AF26A9" w:rsidP="00475FA2">
            <w:pPr>
              <w:spacing w:before="120" w:line="276" w:lineRule="auto"/>
              <w:contextualSpacing/>
              <w:rPr>
                <w:sz w:val="20"/>
                <w:szCs w:val="20"/>
              </w:rPr>
            </w:pPr>
          </w:p>
        </w:tc>
        <w:tc>
          <w:tcPr>
            <w:tcW w:w="1683" w:type="dxa"/>
          </w:tcPr>
          <w:p w14:paraId="5CBFBDB7" w14:textId="77777777" w:rsidR="00AF26A9" w:rsidRPr="004E0431" w:rsidRDefault="00AF26A9" w:rsidP="00475FA2">
            <w:pPr>
              <w:spacing w:before="120" w:line="276" w:lineRule="auto"/>
              <w:contextualSpacing/>
              <w:rPr>
                <w:sz w:val="20"/>
                <w:szCs w:val="20"/>
              </w:rPr>
            </w:pPr>
            <w:r w:rsidRPr="004E0431">
              <w:rPr>
                <w:rFonts w:eastAsia="Arial"/>
                <w:sz w:val="20"/>
                <w:szCs w:val="20"/>
              </w:rPr>
              <w:t>More than 50 %</w:t>
            </w:r>
          </w:p>
        </w:tc>
        <w:tc>
          <w:tcPr>
            <w:tcW w:w="1207" w:type="dxa"/>
          </w:tcPr>
          <w:p w14:paraId="42DDFAC9" w14:textId="77777777" w:rsidR="00AF26A9" w:rsidRPr="004E0431" w:rsidRDefault="00AF26A9" w:rsidP="00475FA2">
            <w:pPr>
              <w:spacing w:before="120" w:line="276" w:lineRule="auto"/>
              <w:contextualSpacing/>
              <w:jc w:val="right"/>
              <w:rPr>
                <w:sz w:val="20"/>
                <w:szCs w:val="20"/>
              </w:rPr>
            </w:pPr>
            <w:r w:rsidRPr="004E0431">
              <w:rPr>
                <w:rFonts w:eastAsia="Arial"/>
                <w:sz w:val="20"/>
                <w:szCs w:val="20"/>
              </w:rPr>
              <w:t>8</w:t>
            </w:r>
          </w:p>
        </w:tc>
        <w:tc>
          <w:tcPr>
            <w:tcW w:w="1156" w:type="dxa"/>
          </w:tcPr>
          <w:p w14:paraId="58EABAAC" w14:textId="77777777" w:rsidR="00AF26A9" w:rsidRPr="004E0431" w:rsidRDefault="00AF26A9" w:rsidP="00475FA2">
            <w:pPr>
              <w:spacing w:before="120" w:line="276" w:lineRule="auto"/>
              <w:contextualSpacing/>
              <w:jc w:val="right"/>
              <w:rPr>
                <w:sz w:val="20"/>
                <w:szCs w:val="20"/>
              </w:rPr>
            </w:pPr>
            <w:r w:rsidRPr="004E0431">
              <w:rPr>
                <w:rFonts w:eastAsia="Arial"/>
                <w:sz w:val="20"/>
                <w:szCs w:val="20"/>
              </w:rPr>
              <w:t>4.0</w:t>
            </w:r>
          </w:p>
        </w:tc>
        <w:tc>
          <w:tcPr>
            <w:tcW w:w="1462" w:type="dxa"/>
          </w:tcPr>
          <w:p w14:paraId="40084787" w14:textId="77777777" w:rsidR="00AF26A9" w:rsidRPr="004E0431" w:rsidRDefault="00AF26A9" w:rsidP="00475FA2">
            <w:pPr>
              <w:spacing w:before="120" w:line="276" w:lineRule="auto"/>
              <w:contextualSpacing/>
              <w:jc w:val="right"/>
              <w:rPr>
                <w:sz w:val="20"/>
                <w:szCs w:val="20"/>
              </w:rPr>
            </w:pPr>
            <w:r w:rsidRPr="004E0431">
              <w:rPr>
                <w:rFonts w:eastAsia="Arial"/>
                <w:sz w:val="20"/>
                <w:szCs w:val="20"/>
              </w:rPr>
              <w:t>4.0</w:t>
            </w:r>
          </w:p>
        </w:tc>
        <w:tc>
          <w:tcPr>
            <w:tcW w:w="2384" w:type="dxa"/>
          </w:tcPr>
          <w:p w14:paraId="18ACE73A" w14:textId="77777777" w:rsidR="00AF26A9" w:rsidRPr="004E0431" w:rsidRDefault="00AF26A9" w:rsidP="00475FA2">
            <w:pPr>
              <w:spacing w:before="120" w:line="276" w:lineRule="auto"/>
              <w:contextualSpacing/>
              <w:jc w:val="right"/>
              <w:rPr>
                <w:sz w:val="20"/>
                <w:szCs w:val="20"/>
              </w:rPr>
            </w:pPr>
            <w:r w:rsidRPr="004E0431">
              <w:rPr>
                <w:rFonts w:eastAsia="Arial"/>
                <w:sz w:val="20"/>
                <w:szCs w:val="20"/>
              </w:rPr>
              <w:t>100.0</w:t>
            </w:r>
          </w:p>
        </w:tc>
      </w:tr>
      <w:tr w:rsidR="004E0431" w:rsidRPr="004E0431" w14:paraId="3DB17288" w14:textId="77777777" w:rsidTr="00493138">
        <w:trPr>
          <w:jc w:val="center"/>
        </w:trPr>
        <w:tc>
          <w:tcPr>
            <w:tcW w:w="833" w:type="dxa"/>
            <w:vMerge/>
          </w:tcPr>
          <w:p w14:paraId="016CB89C" w14:textId="77777777" w:rsidR="00AF26A9" w:rsidRPr="004E0431" w:rsidRDefault="00AF26A9" w:rsidP="00475FA2">
            <w:pPr>
              <w:spacing w:before="120" w:line="276" w:lineRule="auto"/>
              <w:contextualSpacing/>
              <w:rPr>
                <w:sz w:val="20"/>
                <w:szCs w:val="20"/>
              </w:rPr>
            </w:pPr>
          </w:p>
        </w:tc>
        <w:tc>
          <w:tcPr>
            <w:tcW w:w="1683" w:type="dxa"/>
          </w:tcPr>
          <w:p w14:paraId="42F2DEE3" w14:textId="77777777" w:rsidR="00AF26A9" w:rsidRPr="004E0431" w:rsidRDefault="00AF26A9" w:rsidP="00475FA2">
            <w:pPr>
              <w:spacing w:before="120" w:line="276" w:lineRule="auto"/>
              <w:contextualSpacing/>
              <w:rPr>
                <w:sz w:val="20"/>
                <w:szCs w:val="20"/>
              </w:rPr>
            </w:pPr>
            <w:r w:rsidRPr="004E0431">
              <w:rPr>
                <w:rFonts w:eastAsia="Arial"/>
                <w:sz w:val="20"/>
                <w:szCs w:val="20"/>
              </w:rPr>
              <w:t>Total</w:t>
            </w:r>
          </w:p>
        </w:tc>
        <w:tc>
          <w:tcPr>
            <w:tcW w:w="1207" w:type="dxa"/>
          </w:tcPr>
          <w:p w14:paraId="7A5D765D" w14:textId="77777777" w:rsidR="00AF26A9" w:rsidRPr="004E0431" w:rsidRDefault="00AF26A9" w:rsidP="00475FA2">
            <w:pPr>
              <w:spacing w:before="120" w:line="276" w:lineRule="auto"/>
              <w:contextualSpacing/>
              <w:jc w:val="right"/>
              <w:rPr>
                <w:sz w:val="20"/>
                <w:szCs w:val="20"/>
              </w:rPr>
            </w:pPr>
            <w:r w:rsidRPr="004E0431">
              <w:rPr>
                <w:rFonts w:eastAsia="Arial"/>
                <w:sz w:val="20"/>
                <w:szCs w:val="20"/>
              </w:rPr>
              <w:t>200</w:t>
            </w:r>
          </w:p>
        </w:tc>
        <w:tc>
          <w:tcPr>
            <w:tcW w:w="1156" w:type="dxa"/>
          </w:tcPr>
          <w:p w14:paraId="6E92D986" w14:textId="77777777" w:rsidR="00AF26A9" w:rsidRPr="004E0431" w:rsidRDefault="00AF26A9" w:rsidP="00475FA2">
            <w:pPr>
              <w:spacing w:before="120" w:line="276" w:lineRule="auto"/>
              <w:contextualSpacing/>
              <w:jc w:val="right"/>
              <w:rPr>
                <w:sz w:val="20"/>
                <w:szCs w:val="20"/>
              </w:rPr>
            </w:pPr>
            <w:r w:rsidRPr="004E0431">
              <w:rPr>
                <w:rFonts w:eastAsia="Arial"/>
                <w:sz w:val="20"/>
                <w:szCs w:val="20"/>
              </w:rPr>
              <w:t>100.0</w:t>
            </w:r>
          </w:p>
        </w:tc>
        <w:tc>
          <w:tcPr>
            <w:tcW w:w="1462" w:type="dxa"/>
          </w:tcPr>
          <w:p w14:paraId="12AFE0BE" w14:textId="77777777" w:rsidR="00AF26A9" w:rsidRPr="004E0431" w:rsidRDefault="00AF26A9" w:rsidP="00475FA2">
            <w:pPr>
              <w:spacing w:before="120" w:line="276" w:lineRule="auto"/>
              <w:contextualSpacing/>
              <w:jc w:val="right"/>
              <w:rPr>
                <w:sz w:val="20"/>
                <w:szCs w:val="20"/>
              </w:rPr>
            </w:pPr>
            <w:r w:rsidRPr="004E0431">
              <w:rPr>
                <w:rFonts w:eastAsia="Arial"/>
                <w:sz w:val="20"/>
                <w:szCs w:val="20"/>
              </w:rPr>
              <w:t>100.0</w:t>
            </w:r>
          </w:p>
        </w:tc>
        <w:tc>
          <w:tcPr>
            <w:tcW w:w="2384" w:type="dxa"/>
          </w:tcPr>
          <w:p w14:paraId="004DA4A1" w14:textId="77777777" w:rsidR="00AF26A9" w:rsidRPr="004E0431" w:rsidRDefault="00AF26A9" w:rsidP="00475FA2">
            <w:pPr>
              <w:spacing w:before="120" w:line="276" w:lineRule="auto"/>
              <w:contextualSpacing/>
              <w:rPr>
                <w:sz w:val="20"/>
                <w:szCs w:val="20"/>
              </w:rPr>
            </w:pPr>
          </w:p>
        </w:tc>
      </w:tr>
    </w:tbl>
    <w:p w14:paraId="5B838E2B" w14:textId="42A5D45F" w:rsidR="00AF26A9" w:rsidRPr="0001291E" w:rsidRDefault="00AF26A9" w:rsidP="00475FA2">
      <w:pPr>
        <w:spacing w:before="120" w:line="276" w:lineRule="auto"/>
        <w:rPr>
          <w:sz w:val="20"/>
          <w:szCs w:val="20"/>
        </w:rPr>
      </w:pPr>
      <w:r w:rsidRPr="0001291E">
        <w:rPr>
          <w:sz w:val="20"/>
          <w:szCs w:val="20"/>
        </w:rPr>
        <w:t xml:space="preserve">       </w:t>
      </w:r>
    </w:p>
    <w:p w14:paraId="78399BA9" w14:textId="77777777" w:rsidR="00AF26A9" w:rsidRPr="0001291E" w:rsidRDefault="00AF26A9" w:rsidP="00475FA2">
      <w:pPr>
        <w:pStyle w:val="BodyText"/>
        <w:spacing w:before="120" w:line="276" w:lineRule="auto"/>
        <w:jc w:val="center"/>
        <w:rPr>
          <w:sz w:val="20"/>
          <w:szCs w:val="20"/>
        </w:rPr>
      </w:pPr>
      <w:r w:rsidRPr="0001291E">
        <w:rPr>
          <w:noProof/>
          <w:sz w:val="20"/>
          <w:szCs w:val="20"/>
          <w:lang w:val="en-IN" w:eastAsia="en-IN"/>
        </w:rPr>
        <w:lastRenderedPageBreak/>
        <w:drawing>
          <wp:inline distT="0" distB="0" distL="0" distR="0" wp14:anchorId="3F680A0B" wp14:editId="441F0441">
            <wp:extent cx="4221480" cy="2103120"/>
            <wp:effectExtent l="0" t="0" r="7620" b="11430"/>
            <wp:docPr id="796830774" name="Chart 1">
              <a:extLst xmlns:a="http://schemas.openxmlformats.org/drawingml/2006/main">
                <a:ext uri="{FF2B5EF4-FFF2-40B4-BE49-F238E27FC236}">
                  <a16:creationId xmlns:a16="http://schemas.microsoft.com/office/drawing/2014/main" id="{40456521-1E45-2744-6B18-B2302582B1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01291E">
        <w:rPr>
          <w:sz w:val="20"/>
          <w:szCs w:val="20"/>
        </w:rPr>
        <w:t xml:space="preserve">           </w:t>
      </w:r>
    </w:p>
    <w:p w14:paraId="208A7C3E" w14:textId="77777777" w:rsidR="00475FA2" w:rsidRDefault="00475FA2" w:rsidP="00475FA2">
      <w:pPr>
        <w:spacing w:before="120" w:line="276" w:lineRule="auto"/>
        <w:rPr>
          <w:b/>
          <w:bCs/>
          <w:sz w:val="20"/>
          <w:szCs w:val="20"/>
        </w:rPr>
        <w:sectPr w:rsidR="00475FA2" w:rsidSect="00475FA2">
          <w:type w:val="continuous"/>
          <w:pgSz w:w="12240" w:h="15840" w:code="1"/>
          <w:pgMar w:top="1440" w:right="1440" w:bottom="1440" w:left="1440" w:header="706" w:footer="706" w:gutter="0"/>
          <w:cols w:space="720"/>
          <w:docGrid w:linePitch="299"/>
        </w:sectPr>
      </w:pPr>
    </w:p>
    <w:p w14:paraId="67FFFE2D" w14:textId="77777777" w:rsidR="00AF26A9" w:rsidRPr="0001291E" w:rsidRDefault="00AF26A9" w:rsidP="00475FA2">
      <w:pPr>
        <w:spacing w:before="120" w:line="276" w:lineRule="auto"/>
        <w:rPr>
          <w:b/>
          <w:bCs/>
          <w:sz w:val="20"/>
          <w:szCs w:val="20"/>
        </w:rPr>
      </w:pPr>
      <w:r w:rsidRPr="0001291E">
        <w:rPr>
          <w:b/>
          <w:bCs/>
          <w:sz w:val="20"/>
          <w:szCs w:val="20"/>
        </w:rPr>
        <w:t>Interpretation:</w:t>
      </w:r>
    </w:p>
    <w:p w14:paraId="70EF708B" w14:textId="7A8E89E8" w:rsidR="00AF26A9" w:rsidRPr="0001291E" w:rsidRDefault="00AF26A9" w:rsidP="00475FA2">
      <w:pPr>
        <w:spacing w:before="120" w:line="276" w:lineRule="auto"/>
        <w:jc w:val="both"/>
        <w:rPr>
          <w:sz w:val="20"/>
          <w:szCs w:val="20"/>
        </w:rPr>
      </w:pPr>
      <w:r w:rsidRPr="0001291E">
        <w:rPr>
          <w:sz w:val="20"/>
          <w:szCs w:val="20"/>
        </w:rPr>
        <w:t xml:space="preserve">The table below shows the allocation of respondents' portfolios to ESG-compliant investments. It is clear that 43% of respondents have no allocation to ESG investments, indicating that a significant portion of investors either lack awareness, do not prioritize sustainability, or perceive ESG investments as less financially attractive. A substantial 39% have allocated less than 25% of their portfolio to ESG investments, suggesting a cautious approach where sustainability is considered but not a dominant factor </w:t>
      </w:r>
      <w:r w:rsidRPr="0001291E">
        <w:rPr>
          <w:sz w:val="20"/>
          <w:szCs w:val="20"/>
        </w:rPr>
        <w:t xml:space="preserve">in portfolio decisions. A smaller share, 14%, have 25% to 50% of their portfolio in ESG-compliant investments, showing a moderate commitment to sustainable investing. Only 4% have allocated more than 50% of their portfolio to ESG investments, indicating that a very limited group of investors strongly prioritize sustainability. Overall, the data suggests that while ESG investing is gaining traction, most investors allocate only a small portion of their portfolio to it, with a considerable segment yet to adopt ESG-focused strategies. </w:t>
      </w:r>
    </w:p>
    <w:p w14:paraId="7BCD1649" w14:textId="77777777" w:rsidR="00475FA2" w:rsidRDefault="00475FA2" w:rsidP="00475FA2">
      <w:pPr>
        <w:tabs>
          <w:tab w:val="left" w:pos="1572"/>
        </w:tabs>
        <w:spacing w:before="120" w:line="276" w:lineRule="auto"/>
        <w:rPr>
          <w:sz w:val="20"/>
          <w:szCs w:val="20"/>
        </w:rPr>
        <w:sectPr w:rsidR="00475FA2" w:rsidSect="00475FA2">
          <w:type w:val="continuous"/>
          <w:pgSz w:w="12240" w:h="15840" w:code="1"/>
          <w:pgMar w:top="1440" w:right="1440" w:bottom="1440" w:left="1440" w:header="706" w:footer="706" w:gutter="0"/>
          <w:cols w:num="2" w:space="720"/>
          <w:docGrid w:linePitch="299"/>
        </w:sectPr>
      </w:pPr>
    </w:p>
    <w:p w14:paraId="62531817" w14:textId="47903D5E" w:rsidR="00AF26A9" w:rsidRPr="0001291E" w:rsidRDefault="00AF26A9" w:rsidP="00493138">
      <w:pPr>
        <w:tabs>
          <w:tab w:val="left" w:pos="1572"/>
        </w:tabs>
        <w:spacing w:before="120" w:line="276" w:lineRule="auto"/>
        <w:jc w:val="center"/>
        <w:rPr>
          <w:sz w:val="20"/>
          <w:szCs w:val="20"/>
        </w:rPr>
      </w:pPr>
      <w:r w:rsidRPr="0001291E">
        <w:rPr>
          <w:rFonts w:eastAsia="Arial"/>
          <w:b/>
          <w:color w:val="010205"/>
          <w:sz w:val="20"/>
          <w:szCs w:val="20"/>
        </w:rPr>
        <w:t>How familiar are you with the concept of ESG investing?</w:t>
      </w:r>
    </w:p>
    <w:tbl>
      <w:tblPr>
        <w:tblStyle w:val="TableGrid"/>
        <w:tblW w:w="0" w:type="auto"/>
        <w:jc w:val="center"/>
        <w:tblLayout w:type="fixed"/>
        <w:tblLook w:val="04A0" w:firstRow="1" w:lastRow="0" w:firstColumn="1" w:lastColumn="0" w:noHBand="0" w:noVBand="1"/>
      </w:tblPr>
      <w:tblGrid>
        <w:gridCol w:w="833"/>
        <w:gridCol w:w="2582"/>
        <w:gridCol w:w="1080"/>
        <w:gridCol w:w="900"/>
        <w:gridCol w:w="1440"/>
        <w:gridCol w:w="1800"/>
      </w:tblGrid>
      <w:tr w:rsidR="004E0431" w:rsidRPr="004E0431" w14:paraId="6C2E2260" w14:textId="77777777" w:rsidTr="00493138">
        <w:trPr>
          <w:jc w:val="center"/>
        </w:trPr>
        <w:tc>
          <w:tcPr>
            <w:tcW w:w="3415" w:type="dxa"/>
            <w:gridSpan w:val="2"/>
          </w:tcPr>
          <w:p w14:paraId="13171459" w14:textId="77777777" w:rsidR="00737D04" w:rsidRPr="004E0431" w:rsidRDefault="00737D04" w:rsidP="00475FA2">
            <w:pPr>
              <w:spacing w:before="120" w:line="276" w:lineRule="auto"/>
              <w:contextualSpacing/>
              <w:rPr>
                <w:sz w:val="20"/>
                <w:szCs w:val="20"/>
              </w:rPr>
            </w:pPr>
          </w:p>
        </w:tc>
        <w:tc>
          <w:tcPr>
            <w:tcW w:w="1080" w:type="dxa"/>
          </w:tcPr>
          <w:p w14:paraId="77745513" w14:textId="77777777" w:rsidR="00737D04" w:rsidRPr="004E0431" w:rsidRDefault="00737D04" w:rsidP="00475FA2">
            <w:pPr>
              <w:spacing w:before="120" w:line="276" w:lineRule="auto"/>
              <w:contextualSpacing/>
              <w:jc w:val="center"/>
              <w:rPr>
                <w:sz w:val="20"/>
                <w:szCs w:val="20"/>
              </w:rPr>
            </w:pPr>
            <w:r w:rsidRPr="004E0431">
              <w:rPr>
                <w:rFonts w:eastAsia="Arial"/>
                <w:sz w:val="20"/>
                <w:szCs w:val="20"/>
              </w:rPr>
              <w:t>Frequency</w:t>
            </w:r>
          </w:p>
        </w:tc>
        <w:tc>
          <w:tcPr>
            <w:tcW w:w="900" w:type="dxa"/>
          </w:tcPr>
          <w:p w14:paraId="44F0A354" w14:textId="77777777" w:rsidR="00737D04" w:rsidRPr="004E0431" w:rsidRDefault="00737D04" w:rsidP="00475FA2">
            <w:pPr>
              <w:spacing w:before="120" w:line="276" w:lineRule="auto"/>
              <w:contextualSpacing/>
              <w:jc w:val="center"/>
              <w:rPr>
                <w:sz w:val="20"/>
                <w:szCs w:val="20"/>
              </w:rPr>
            </w:pPr>
            <w:r w:rsidRPr="004E0431">
              <w:rPr>
                <w:rFonts w:eastAsia="Arial"/>
                <w:sz w:val="20"/>
                <w:szCs w:val="20"/>
              </w:rPr>
              <w:t>Percent</w:t>
            </w:r>
          </w:p>
        </w:tc>
        <w:tc>
          <w:tcPr>
            <w:tcW w:w="1440" w:type="dxa"/>
          </w:tcPr>
          <w:p w14:paraId="5EB696DE" w14:textId="77777777" w:rsidR="00737D04" w:rsidRPr="004E0431" w:rsidRDefault="00737D04" w:rsidP="00475FA2">
            <w:pPr>
              <w:spacing w:before="120" w:line="276" w:lineRule="auto"/>
              <w:contextualSpacing/>
              <w:jc w:val="center"/>
              <w:rPr>
                <w:sz w:val="20"/>
                <w:szCs w:val="20"/>
              </w:rPr>
            </w:pPr>
            <w:r w:rsidRPr="004E0431">
              <w:rPr>
                <w:rFonts w:eastAsia="Arial"/>
                <w:sz w:val="20"/>
                <w:szCs w:val="20"/>
              </w:rPr>
              <w:t>Valid Percent</w:t>
            </w:r>
          </w:p>
        </w:tc>
        <w:tc>
          <w:tcPr>
            <w:tcW w:w="1800" w:type="dxa"/>
          </w:tcPr>
          <w:p w14:paraId="1DC6BC2F" w14:textId="77777777" w:rsidR="00737D04" w:rsidRPr="004E0431" w:rsidRDefault="00737D04" w:rsidP="00475FA2">
            <w:pPr>
              <w:spacing w:before="120" w:line="276" w:lineRule="auto"/>
              <w:contextualSpacing/>
              <w:jc w:val="center"/>
              <w:rPr>
                <w:sz w:val="20"/>
                <w:szCs w:val="20"/>
              </w:rPr>
            </w:pPr>
            <w:r w:rsidRPr="004E0431">
              <w:rPr>
                <w:rFonts w:eastAsia="Arial"/>
                <w:sz w:val="20"/>
                <w:szCs w:val="20"/>
              </w:rPr>
              <w:t>Cumulative Percent</w:t>
            </w:r>
          </w:p>
        </w:tc>
      </w:tr>
      <w:tr w:rsidR="004E0431" w:rsidRPr="004E0431" w14:paraId="07F15B86" w14:textId="77777777" w:rsidTr="00493138">
        <w:trPr>
          <w:jc w:val="center"/>
        </w:trPr>
        <w:tc>
          <w:tcPr>
            <w:tcW w:w="833" w:type="dxa"/>
            <w:vMerge w:val="restart"/>
          </w:tcPr>
          <w:p w14:paraId="40E9ABC5" w14:textId="77777777" w:rsidR="00737D04" w:rsidRPr="004E0431" w:rsidRDefault="00737D04" w:rsidP="00475FA2">
            <w:pPr>
              <w:spacing w:before="120" w:line="276" w:lineRule="auto"/>
              <w:contextualSpacing/>
              <w:rPr>
                <w:sz w:val="20"/>
                <w:szCs w:val="20"/>
              </w:rPr>
            </w:pPr>
            <w:r w:rsidRPr="004E0431">
              <w:rPr>
                <w:rFonts w:eastAsia="Arial"/>
                <w:sz w:val="20"/>
                <w:szCs w:val="20"/>
              </w:rPr>
              <w:t>Valid</w:t>
            </w:r>
          </w:p>
        </w:tc>
        <w:tc>
          <w:tcPr>
            <w:tcW w:w="2582" w:type="dxa"/>
          </w:tcPr>
          <w:p w14:paraId="5F6F77CF" w14:textId="77777777" w:rsidR="00737D04" w:rsidRPr="004E0431" w:rsidRDefault="00737D04" w:rsidP="00475FA2">
            <w:pPr>
              <w:spacing w:before="120" w:line="276" w:lineRule="auto"/>
              <w:contextualSpacing/>
              <w:rPr>
                <w:sz w:val="20"/>
                <w:szCs w:val="20"/>
              </w:rPr>
            </w:pPr>
            <w:r w:rsidRPr="004E0431">
              <w:rPr>
                <w:rFonts w:eastAsia="Arial"/>
                <w:sz w:val="20"/>
                <w:szCs w:val="20"/>
              </w:rPr>
              <w:t>Very Familiar</w:t>
            </w:r>
          </w:p>
        </w:tc>
        <w:tc>
          <w:tcPr>
            <w:tcW w:w="1080" w:type="dxa"/>
          </w:tcPr>
          <w:p w14:paraId="525438D5" w14:textId="77777777" w:rsidR="00737D04" w:rsidRPr="004E0431" w:rsidRDefault="00737D04" w:rsidP="00493138">
            <w:pPr>
              <w:spacing w:before="120" w:line="276" w:lineRule="auto"/>
              <w:contextualSpacing/>
              <w:jc w:val="center"/>
              <w:rPr>
                <w:sz w:val="20"/>
                <w:szCs w:val="20"/>
              </w:rPr>
            </w:pPr>
            <w:r w:rsidRPr="004E0431">
              <w:rPr>
                <w:rFonts w:eastAsia="Arial"/>
                <w:sz w:val="20"/>
                <w:szCs w:val="20"/>
              </w:rPr>
              <w:t>40</w:t>
            </w:r>
          </w:p>
        </w:tc>
        <w:tc>
          <w:tcPr>
            <w:tcW w:w="900" w:type="dxa"/>
          </w:tcPr>
          <w:p w14:paraId="04152E28" w14:textId="77777777" w:rsidR="00737D04" w:rsidRPr="004E0431" w:rsidRDefault="00737D04" w:rsidP="00493138">
            <w:pPr>
              <w:spacing w:before="120" w:line="276" w:lineRule="auto"/>
              <w:contextualSpacing/>
              <w:jc w:val="center"/>
              <w:rPr>
                <w:sz w:val="20"/>
                <w:szCs w:val="20"/>
              </w:rPr>
            </w:pPr>
            <w:r w:rsidRPr="004E0431">
              <w:rPr>
                <w:rFonts w:eastAsia="Arial"/>
                <w:sz w:val="20"/>
                <w:szCs w:val="20"/>
              </w:rPr>
              <w:t>20.0</w:t>
            </w:r>
          </w:p>
        </w:tc>
        <w:tc>
          <w:tcPr>
            <w:tcW w:w="1440" w:type="dxa"/>
          </w:tcPr>
          <w:p w14:paraId="3B9861CA" w14:textId="77777777" w:rsidR="00737D04" w:rsidRPr="004E0431" w:rsidRDefault="00737D04" w:rsidP="00493138">
            <w:pPr>
              <w:spacing w:before="120" w:line="276" w:lineRule="auto"/>
              <w:contextualSpacing/>
              <w:jc w:val="center"/>
              <w:rPr>
                <w:sz w:val="20"/>
                <w:szCs w:val="20"/>
              </w:rPr>
            </w:pPr>
            <w:r w:rsidRPr="004E0431">
              <w:rPr>
                <w:rFonts w:eastAsia="Arial"/>
                <w:sz w:val="20"/>
                <w:szCs w:val="20"/>
              </w:rPr>
              <w:t>20.0</w:t>
            </w:r>
          </w:p>
        </w:tc>
        <w:tc>
          <w:tcPr>
            <w:tcW w:w="1800" w:type="dxa"/>
          </w:tcPr>
          <w:p w14:paraId="5FEC5121" w14:textId="77777777" w:rsidR="00737D04" w:rsidRPr="004E0431" w:rsidRDefault="00737D04" w:rsidP="00493138">
            <w:pPr>
              <w:spacing w:before="120" w:line="276" w:lineRule="auto"/>
              <w:contextualSpacing/>
              <w:jc w:val="center"/>
              <w:rPr>
                <w:sz w:val="20"/>
                <w:szCs w:val="20"/>
              </w:rPr>
            </w:pPr>
            <w:r w:rsidRPr="004E0431">
              <w:rPr>
                <w:rFonts w:eastAsia="Arial"/>
                <w:sz w:val="20"/>
                <w:szCs w:val="20"/>
              </w:rPr>
              <w:t>20.0</w:t>
            </w:r>
          </w:p>
        </w:tc>
      </w:tr>
      <w:tr w:rsidR="004E0431" w:rsidRPr="004E0431" w14:paraId="109D0232" w14:textId="77777777" w:rsidTr="00493138">
        <w:trPr>
          <w:jc w:val="center"/>
        </w:trPr>
        <w:tc>
          <w:tcPr>
            <w:tcW w:w="833" w:type="dxa"/>
            <w:vMerge/>
          </w:tcPr>
          <w:p w14:paraId="5150D2CF" w14:textId="77777777" w:rsidR="00737D04" w:rsidRPr="004E0431" w:rsidRDefault="00737D04" w:rsidP="00475FA2">
            <w:pPr>
              <w:spacing w:before="120" w:line="276" w:lineRule="auto"/>
              <w:contextualSpacing/>
              <w:rPr>
                <w:sz w:val="20"/>
                <w:szCs w:val="20"/>
              </w:rPr>
            </w:pPr>
          </w:p>
        </w:tc>
        <w:tc>
          <w:tcPr>
            <w:tcW w:w="2582" w:type="dxa"/>
          </w:tcPr>
          <w:p w14:paraId="24B432B5" w14:textId="77777777" w:rsidR="00737D04" w:rsidRPr="004E0431" w:rsidRDefault="00737D04" w:rsidP="00475FA2">
            <w:pPr>
              <w:spacing w:before="120" w:line="276" w:lineRule="auto"/>
              <w:contextualSpacing/>
              <w:rPr>
                <w:sz w:val="20"/>
                <w:szCs w:val="20"/>
              </w:rPr>
            </w:pPr>
            <w:r w:rsidRPr="004E0431">
              <w:rPr>
                <w:rFonts w:eastAsia="Arial"/>
                <w:sz w:val="20"/>
                <w:szCs w:val="20"/>
              </w:rPr>
              <w:t>Somewhat Familiar</w:t>
            </w:r>
          </w:p>
        </w:tc>
        <w:tc>
          <w:tcPr>
            <w:tcW w:w="1080" w:type="dxa"/>
          </w:tcPr>
          <w:p w14:paraId="300A059F" w14:textId="77777777" w:rsidR="00737D04" w:rsidRPr="004E0431" w:rsidRDefault="00737D04" w:rsidP="00493138">
            <w:pPr>
              <w:spacing w:before="120" w:line="276" w:lineRule="auto"/>
              <w:contextualSpacing/>
              <w:jc w:val="center"/>
              <w:rPr>
                <w:sz w:val="20"/>
                <w:szCs w:val="20"/>
              </w:rPr>
            </w:pPr>
            <w:r w:rsidRPr="004E0431">
              <w:rPr>
                <w:rFonts w:eastAsia="Arial"/>
                <w:sz w:val="20"/>
                <w:szCs w:val="20"/>
              </w:rPr>
              <w:t>78</w:t>
            </w:r>
          </w:p>
        </w:tc>
        <w:tc>
          <w:tcPr>
            <w:tcW w:w="900" w:type="dxa"/>
          </w:tcPr>
          <w:p w14:paraId="0B8683A0" w14:textId="77777777" w:rsidR="00737D04" w:rsidRPr="004E0431" w:rsidRDefault="00737D04" w:rsidP="00493138">
            <w:pPr>
              <w:spacing w:before="120" w:line="276" w:lineRule="auto"/>
              <w:contextualSpacing/>
              <w:jc w:val="center"/>
              <w:rPr>
                <w:sz w:val="20"/>
                <w:szCs w:val="20"/>
              </w:rPr>
            </w:pPr>
            <w:r w:rsidRPr="004E0431">
              <w:rPr>
                <w:rFonts w:eastAsia="Arial"/>
                <w:sz w:val="20"/>
                <w:szCs w:val="20"/>
              </w:rPr>
              <w:t>39.0</w:t>
            </w:r>
          </w:p>
        </w:tc>
        <w:tc>
          <w:tcPr>
            <w:tcW w:w="1440" w:type="dxa"/>
          </w:tcPr>
          <w:p w14:paraId="427442F4" w14:textId="77777777" w:rsidR="00737D04" w:rsidRPr="004E0431" w:rsidRDefault="00737D04" w:rsidP="00493138">
            <w:pPr>
              <w:spacing w:before="120" w:line="276" w:lineRule="auto"/>
              <w:contextualSpacing/>
              <w:jc w:val="center"/>
              <w:rPr>
                <w:sz w:val="20"/>
                <w:szCs w:val="20"/>
              </w:rPr>
            </w:pPr>
            <w:r w:rsidRPr="004E0431">
              <w:rPr>
                <w:rFonts w:eastAsia="Arial"/>
                <w:sz w:val="20"/>
                <w:szCs w:val="20"/>
              </w:rPr>
              <w:t>39.0</w:t>
            </w:r>
          </w:p>
        </w:tc>
        <w:tc>
          <w:tcPr>
            <w:tcW w:w="1800" w:type="dxa"/>
          </w:tcPr>
          <w:p w14:paraId="01395C77" w14:textId="77777777" w:rsidR="00737D04" w:rsidRPr="004E0431" w:rsidRDefault="00737D04" w:rsidP="00493138">
            <w:pPr>
              <w:spacing w:before="120" w:line="276" w:lineRule="auto"/>
              <w:contextualSpacing/>
              <w:jc w:val="center"/>
              <w:rPr>
                <w:sz w:val="20"/>
                <w:szCs w:val="20"/>
              </w:rPr>
            </w:pPr>
            <w:r w:rsidRPr="004E0431">
              <w:rPr>
                <w:rFonts w:eastAsia="Arial"/>
                <w:sz w:val="20"/>
                <w:szCs w:val="20"/>
              </w:rPr>
              <w:t>59.0</w:t>
            </w:r>
          </w:p>
        </w:tc>
      </w:tr>
      <w:tr w:rsidR="004E0431" w:rsidRPr="004E0431" w14:paraId="381C129B" w14:textId="77777777" w:rsidTr="00493138">
        <w:trPr>
          <w:jc w:val="center"/>
        </w:trPr>
        <w:tc>
          <w:tcPr>
            <w:tcW w:w="833" w:type="dxa"/>
            <w:vMerge/>
          </w:tcPr>
          <w:p w14:paraId="7269FE25" w14:textId="77777777" w:rsidR="00737D04" w:rsidRPr="004E0431" w:rsidRDefault="00737D04" w:rsidP="00475FA2">
            <w:pPr>
              <w:spacing w:before="120" w:line="276" w:lineRule="auto"/>
              <w:contextualSpacing/>
              <w:rPr>
                <w:sz w:val="20"/>
                <w:szCs w:val="20"/>
              </w:rPr>
            </w:pPr>
          </w:p>
        </w:tc>
        <w:tc>
          <w:tcPr>
            <w:tcW w:w="2582" w:type="dxa"/>
          </w:tcPr>
          <w:p w14:paraId="6747CFCE" w14:textId="77777777" w:rsidR="00737D04" w:rsidRPr="004E0431" w:rsidRDefault="00737D04" w:rsidP="00475FA2">
            <w:pPr>
              <w:spacing w:before="120" w:line="276" w:lineRule="auto"/>
              <w:contextualSpacing/>
              <w:rPr>
                <w:sz w:val="20"/>
                <w:szCs w:val="20"/>
              </w:rPr>
            </w:pPr>
            <w:r w:rsidRPr="004E0431">
              <w:rPr>
                <w:rFonts w:eastAsia="Arial"/>
                <w:sz w:val="20"/>
                <w:szCs w:val="20"/>
              </w:rPr>
              <w:t>Heard about it but unfamiliar</w:t>
            </w:r>
          </w:p>
        </w:tc>
        <w:tc>
          <w:tcPr>
            <w:tcW w:w="1080" w:type="dxa"/>
          </w:tcPr>
          <w:p w14:paraId="48FC0BE5" w14:textId="77777777" w:rsidR="00737D04" w:rsidRPr="004E0431" w:rsidRDefault="00737D04" w:rsidP="00493138">
            <w:pPr>
              <w:spacing w:before="120" w:line="276" w:lineRule="auto"/>
              <w:contextualSpacing/>
              <w:jc w:val="center"/>
              <w:rPr>
                <w:sz w:val="20"/>
                <w:szCs w:val="20"/>
              </w:rPr>
            </w:pPr>
            <w:r w:rsidRPr="004E0431">
              <w:rPr>
                <w:rFonts w:eastAsia="Arial"/>
                <w:sz w:val="20"/>
                <w:szCs w:val="20"/>
              </w:rPr>
              <w:t>82</w:t>
            </w:r>
          </w:p>
        </w:tc>
        <w:tc>
          <w:tcPr>
            <w:tcW w:w="900" w:type="dxa"/>
          </w:tcPr>
          <w:p w14:paraId="086125EA" w14:textId="77777777" w:rsidR="00737D04" w:rsidRPr="004E0431" w:rsidRDefault="00737D04" w:rsidP="00493138">
            <w:pPr>
              <w:spacing w:before="120" w:line="276" w:lineRule="auto"/>
              <w:contextualSpacing/>
              <w:jc w:val="center"/>
              <w:rPr>
                <w:sz w:val="20"/>
                <w:szCs w:val="20"/>
              </w:rPr>
            </w:pPr>
            <w:r w:rsidRPr="004E0431">
              <w:rPr>
                <w:rFonts w:eastAsia="Arial"/>
                <w:sz w:val="20"/>
                <w:szCs w:val="20"/>
              </w:rPr>
              <w:t>41.0</w:t>
            </w:r>
          </w:p>
        </w:tc>
        <w:tc>
          <w:tcPr>
            <w:tcW w:w="1440" w:type="dxa"/>
          </w:tcPr>
          <w:p w14:paraId="11F82DB2" w14:textId="77777777" w:rsidR="00737D04" w:rsidRPr="004E0431" w:rsidRDefault="00737D04" w:rsidP="00493138">
            <w:pPr>
              <w:spacing w:before="120" w:line="276" w:lineRule="auto"/>
              <w:contextualSpacing/>
              <w:jc w:val="center"/>
              <w:rPr>
                <w:sz w:val="20"/>
                <w:szCs w:val="20"/>
              </w:rPr>
            </w:pPr>
            <w:r w:rsidRPr="004E0431">
              <w:rPr>
                <w:rFonts w:eastAsia="Arial"/>
                <w:sz w:val="20"/>
                <w:szCs w:val="20"/>
              </w:rPr>
              <w:t>41.0</w:t>
            </w:r>
          </w:p>
        </w:tc>
        <w:tc>
          <w:tcPr>
            <w:tcW w:w="1800" w:type="dxa"/>
          </w:tcPr>
          <w:p w14:paraId="78FDB52A" w14:textId="77777777" w:rsidR="00737D04" w:rsidRPr="004E0431" w:rsidRDefault="00737D04" w:rsidP="00493138">
            <w:pPr>
              <w:spacing w:before="120" w:line="276" w:lineRule="auto"/>
              <w:contextualSpacing/>
              <w:jc w:val="center"/>
              <w:rPr>
                <w:sz w:val="20"/>
                <w:szCs w:val="20"/>
              </w:rPr>
            </w:pPr>
            <w:r w:rsidRPr="004E0431">
              <w:rPr>
                <w:rFonts w:eastAsia="Arial"/>
                <w:sz w:val="20"/>
                <w:szCs w:val="20"/>
              </w:rPr>
              <w:t>100.0</w:t>
            </w:r>
          </w:p>
        </w:tc>
      </w:tr>
      <w:tr w:rsidR="004E0431" w:rsidRPr="004E0431" w14:paraId="432FC0EF" w14:textId="77777777" w:rsidTr="00493138">
        <w:trPr>
          <w:jc w:val="center"/>
        </w:trPr>
        <w:tc>
          <w:tcPr>
            <w:tcW w:w="833" w:type="dxa"/>
            <w:vMerge/>
          </w:tcPr>
          <w:p w14:paraId="28029203" w14:textId="77777777" w:rsidR="00737D04" w:rsidRPr="004E0431" w:rsidRDefault="00737D04" w:rsidP="00475FA2">
            <w:pPr>
              <w:spacing w:before="120" w:line="276" w:lineRule="auto"/>
              <w:contextualSpacing/>
              <w:rPr>
                <w:sz w:val="20"/>
                <w:szCs w:val="20"/>
              </w:rPr>
            </w:pPr>
          </w:p>
        </w:tc>
        <w:tc>
          <w:tcPr>
            <w:tcW w:w="2582" w:type="dxa"/>
          </w:tcPr>
          <w:p w14:paraId="05A83E6E" w14:textId="77777777" w:rsidR="00737D04" w:rsidRPr="004E0431" w:rsidRDefault="00737D04" w:rsidP="00475FA2">
            <w:pPr>
              <w:spacing w:before="120" w:line="276" w:lineRule="auto"/>
              <w:contextualSpacing/>
              <w:rPr>
                <w:sz w:val="20"/>
                <w:szCs w:val="20"/>
              </w:rPr>
            </w:pPr>
            <w:r w:rsidRPr="004E0431">
              <w:rPr>
                <w:rFonts w:eastAsia="Arial"/>
                <w:sz w:val="20"/>
                <w:szCs w:val="20"/>
              </w:rPr>
              <w:t>Total</w:t>
            </w:r>
          </w:p>
        </w:tc>
        <w:tc>
          <w:tcPr>
            <w:tcW w:w="1080" w:type="dxa"/>
          </w:tcPr>
          <w:p w14:paraId="226FC46D" w14:textId="77777777" w:rsidR="00737D04" w:rsidRPr="004E0431" w:rsidRDefault="00737D04" w:rsidP="00493138">
            <w:pPr>
              <w:spacing w:before="120" w:line="276" w:lineRule="auto"/>
              <w:contextualSpacing/>
              <w:jc w:val="center"/>
              <w:rPr>
                <w:sz w:val="20"/>
                <w:szCs w:val="20"/>
              </w:rPr>
            </w:pPr>
            <w:r w:rsidRPr="004E0431">
              <w:rPr>
                <w:rFonts w:eastAsia="Arial"/>
                <w:sz w:val="20"/>
                <w:szCs w:val="20"/>
              </w:rPr>
              <w:t>200</w:t>
            </w:r>
          </w:p>
        </w:tc>
        <w:tc>
          <w:tcPr>
            <w:tcW w:w="900" w:type="dxa"/>
          </w:tcPr>
          <w:p w14:paraId="34CF417F" w14:textId="77777777" w:rsidR="00737D04" w:rsidRPr="004E0431" w:rsidRDefault="00737D04" w:rsidP="00493138">
            <w:pPr>
              <w:spacing w:before="120" w:line="276" w:lineRule="auto"/>
              <w:contextualSpacing/>
              <w:jc w:val="center"/>
              <w:rPr>
                <w:sz w:val="20"/>
                <w:szCs w:val="20"/>
              </w:rPr>
            </w:pPr>
            <w:r w:rsidRPr="004E0431">
              <w:rPr>
                <w:rFonts w:eastAsia="Arial"/>
                <w:sz w:val="20"/>
                <w:szCs w:val="20"/>
              </w:rPr>
              <w:t>100.0</w:t>
            </w:r>
          </w:p>
        </w:tc>
        <w:tc>
          <w:tcPr>
            <w:tcW w:w="1440" w:type="dxa"/>
          </w:tcPr>
          <w:p w14:paraId="0E106BF3" w14:textId="77777777" w:rsidR="00737D04" w:rsidRPr="004E0431" w:rsidRDefault="00737D04" w:rsidP="00493138">
            <w:pPr>
              <w:spacing w:before="120" w:line="276" w:lineRule="auto"/>
              <w:contextualSpacing/>
              <w:jc w:val="center"/>
              <w:rPr>
                <w:sz w:val="20"/>
                <w:szCs w:val="20"/>
              </w:rPr>
            </w:pPr>
            <w:r w:rsidRPr="004E0431">
              <w:rPr>
                <w:rFonts w:eastAsia="Arial"/>
                <w:sz w:val="20"/>
                <w:szCs w:val="20"/>
              </w:rPr>
              <w:t>100.0</w:t>
            </w:r>
          </w:p>
        </w:tc>
        <w:tc>
          <w:tcPr>
            <w:tcW w:w="1800" w:type="dxa"/>
          </w:tcPr>
          <w:p w14:paraId="2709EF58" w14:textId="77777777" w:rsidR="00737D04" w:rsidRPr="004E0431" w:rsidRDefault="00737D04" w:rsidP="00493138">
            <w:pPr>
              <w:spacing w:before="120" w:line="276" w:lineRule="auto"/>
              <w:contextualSpacing/>
              <w:jc w:val="center"/>
              <w:rPr>
                <w:sz w:val="20"/>
                <w:szCs w:val="20"/>
              </w:rPr>
            </w:pPr>
          </w:p>
        </w:tc>
      </w:tr>
    </w:tbl>
    <w:p w14:paraId="30D9EBF5" w14:textId="0149D7A2" w:rsidR="00AF26A9" w:rsidRPr="0001291E" w:rsidRDefault="00737D04" w:rsidP="00475FA2">
      <w:pPr>
        <w:tabs>
          <w:tab w:val="left" w:pos="1572"/>
        </w:tabs>
        <w:spacing w:before="120" w:line="276" w:lineRule="auto"/>
        <w:jc w:val="center"/>
        <w:rPr>
          <w:sz w:val="20"/>
          <w:szCs w:val="20"/>
        </w:rPr>
      </w:pPr>
      <w:r w:rsidRPr="0001291E">
        <w:rPr>
          <w:noProof/>
          <w:sz w:val="20"/>
          <w:szCs w:val="20"/>
          <w:lang w:val="en-IN" w:eastAsia="en-IN"/>
        </w:rPr>
        <w:drawing>
          <wp:inline distT="0" distB="0" distL="0" distR="0" wp14:anchorId="6B6809CE" wp14:editId="5FBFB4CD">
            <wp:extent cx="4553585" cy="2000250"/>
            <wp:effectExtent l="0" t="0" r="18415" b="0"/>
            <wp:docPr id="551946583" name="Chart 1">
              <a:extLst xmlns:a="http://schemas.openxmlformats.org/drawingml/2006/main">
                <a:ext uri="{FF2B5EF4-FFF2-40B4-BE49-F238E27FC236}">
                  <a16:creationId xmlns:a16="http://schemas.microsoft.com/office/drawing/2014/main" id="{42AC55FC-211A-DF0B-8618-EAD566BB61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21217CE" w14:textId="77777777" w:rsidR="00475FA2" w:rsidRDefault="00475FA2" w:rsidP="00475FA2">
      <w:pPr>
        <w:spacing w:before="120" w:line="276" w:lineRule="auto"/>
        <w:rPr>
          <w:b/>
          <w:bCs/>
          <w:sz w:val="20"/>
          <w:szCs w:val="20"/>
        </w:rPr>
        <w:sectPr w:rsidR="00475FA2" w:rsidSect="00475FA2">
          <w:type w:val="continuous"/>
          <w:pgSz w:w="12240" w:h="15840" w:code="1"/>
          <w:pgMar w:top="1440" w:right="1440" w:bottom="1440" w:left="1440" w:header="706" w:footer="706" w:gutter="0"/>
          <w:cols w:space="720"/>
          <w:docGrid w:linePitch="299"/>
        </w:sectPr>
      </w:pPr>
    </w:p>
    <w:p w14:paraId="4395EA74" w14:textId="0727254B" w:rsidR="00737D04" w:rsidRPr="0001291E" w:rsidRDefault="00737D04" w:rsidP="00475FA2">
      <w:pPr>
        <w:spacing w:before="120" w:line="276" w:lineRule="auto"/>
        <w:rPr>
          <w:b/>
          <w:bCs/>
          <w:sz w:val="20"/>
          <w:szCs w:val="20"/>
        </w:rPr>
      </w:pPr>
      <w:r w:rsidRPr="0001291E">
        <w:rPr>
          <w:b/>
          <w:bCs/>
          <w:sz w:val="20"/>
          <w:szCs w:val="20"/>
        </w:rPr>
        <w:lastRenderedPageBreak/>
        <w:t>Interpretation:</w:t>
      </w:r>
    </w:p>
    <w:p w14:paraId="4A8B19B3" w14:textId="77777777" w:rsidR="00475FA2" w:rsidRDefault="00737D04" w:rsidP="00475FA2">
      <w:pPr>
        <w:spacing w:before="120" w:line="276" w:lineRule="auto"/>
        <w:jc w:val="both"/>
        <w:rPr>
          <w:sz w:val="20"/>
          <w:szCs w:val="20"/>
        </w:rPr>
      </w:pPr>
      <w:r w:rsidRPr="0001291E">
        <w:rPr>
          <w:sz w:val="20"/>
          <w:szCs w:val="20"/>
        </w:rPr>
        <w:t xml:space="preserve">The table below shows the familiarity of respondents with the concept of ESG investing. It is clear that 41% of respondents have heard about ESG investing but remain unfamiliar with its principles, indicating a significant knowledge gap that may hinder broader adoption. A substantial 39% are somewhat familiar, suggesting that while they have a basic understanding, they may not have in-depth </w:t>
      </w:r>
    </w:p>
    <w:p w14:paraId="3CD6874B" w14:textId="77777777" w:rsidR="00475FA2" w:rsidRDefault="00475FA2" w:rsidP="00475FA2">
      <w:pPr>
        <w:spacing w:before="120" w:line="276" w:lineRule="auto"/>
        <w:jc w:val="both"/>
        <w:rPr>
          <w:sz w:val="20"/>
          <w:szCs w:val="20"/>
        </w:rPr>
      </w:pPr>
    </w:p>
    <w:p w14:paraId="655297CB" w14:textId="77777777" w:rsidR="00475FA2" w:rsidRDefault="00475FA2" w:rsidP="00475FA2">
      <w:pPr>
        <w:spacing w:before="120" w:line="276" w:lineRule="auto"/>
        <w:jc w:val="both"/>
        <w:rPr>
          <w:sz w:val="20"/>
          <w:szCs w:val="20"/>
        </w:rPr>
      </w:pPr>
    </w:p>
    <w:p w14:paraId="695041A6" w14:textId="0D112203" w:rsidR="00737D04" w:rsidRPr="0001291E" w:rsidRDefault="00737D04" w:rsidP="00475FA2">
      <w:pPr>
        <w:spacing w:before="120" w:line="276" w:lineRule="auto"/>
        <w:jc w:val="both"/>
        <w:rPr>
          <w:sz w:val="20"/>
          <w:szCs w:val="20"/>
        </w:rPr>
      </w:pPr>
      <w:r w:rsidRPr="0001291E">
        <w:rPr>
          <w:sz w:val="20"/>
          <w:szCs w:val="20"/>
        </w:rPr>
        <w:t>knowledge or confidence in ESG investment strategies. Only 20% of respondents are very familiar with ESG investing, highlighting that a relatively small segment possesses strong awareness and understanding of the concept. Overall, the data suggests that while ESG investing is gaining recognition, there is still a need for greater education and awareness to encourage informed investment decisions in this space.</w:t>
      </w:r>
    </w:p>
    <w:p w14:paraId="5B27F1CE" w14:textId="77777777" w:rsidR="00475FA2" w:rsidRDefault="00475FA2" w:rsidP="00475FA2">
      <w:pPr>
        <w:spacing w:before="120" w:line="276" w:lineRule="auto"/>
        <w:jc w:val="center"/>
        <w:rPr>
          <w:rFonts w:eastAsia="Arial"/>
          <w:b/>
          <w:color w:val="010205"/>
          <w:sz w:val="20"/>
          <w:szCs w:val="20"/>
        </w:rPr>
        <w:sectPr w:rsidR="00475FA2" w:rsidSect="00475FA2">
          <w:type w:val="continuous"/>
          <w:pgSz w:w="12240" w:h="15840" w:code="1"/>
          <w:pgMar w:top="1440" w:right="1440" w:bottom="1440" w:left="1440" w:header="706" w:footer="706" w:gutter="0"/>
          <w:cols w:num="2" w:space="720"/>
          <w:docGrid w:linePitch="299"/>
        </w:sectPr>
      </w:pPr>
    </w:p>
    <w:p w14:paraId="1974E736" w14:textId="08E21747" w:rsidR="00737D04" w:rsidRPr="0001291E" w:rsidRDefault="00737D04" w:rsidP="00475FA2">
      <w:pPr>
        <w:spacing w:before="120" w:line="276" w:lineRule="auto"/>
        <w:jc w:val="center"/>
        <w:rPr>
          <w:rFonts w:eastAsia="Arial"/>
          <w:b/>
          <w:color w:val="010205"/>
          <w:sz w:val="20"/>
          <w:szCs w:val="20"/>
        </w:rPr>
      </w:pPr>
      <w:r w:rsidRPr="0001291E">
        <w:rPr>
          <w:rFonts w:eastAsia="Arial"/>
          <w:b/>
          <w:color w:val="010205"/>
          <w:sz w:val="20"/>
          <w:szCs w:val="20"/>
        </w:rPr>
        <w:t>How did you first learn about ESG investing?</w:t>
      </w:r>
    </w:p>
    <w:tbl>
      <w:tblPr>
        <w:tblW w:w="0" w:type="auto"/>
        <w:tblLayout w:type="fixed"/>
        <w:tblCellMar>
          <w:left w:w="10" w:type="dxa"/>
          <w:right w:w="10" w:type="dxa"/>
        </w:tblCellMar>
        <w:tblLook w:val="04A0" w:firstRow="1" w:lastRow="0" w:firstColumn="1" w:lastColumn="0" w:noHBand="0" w:noVBand="1"/>
      </w:tblPr>
      <w:tblGrid>
        <w:gridCol w:w="906"/>
        <w:gridCol w:w="2405"/>
        <w:gridCol w:w="1313"/>
        <w:gridCol w:w="1257"/>
        <w:gridCol w:w="1591"/>
        <w:gridCol w:w="1813"/>
      </w:tblGrid>
      <w:tr w:rsidR="00AD3460" w:rsidRPr="00AD3460" w14:paraId="10E38E9D" w14:textId="77777777" w:rsidTr="00BC2511">
        <w:trPr>
          <w:trHeight w:val="242"/>
        </w:trPr>
        <w:tc>
          <w:tcPr>
            <w:tcW w:w="331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C4ACA76" w14:textId="77777777" w:rsidR="00737D04" w:rsidRPr="00AD3460" w:rsidRDefault="00737D04" w:rsidP="00475FA2">
            <w:pPr>
              <w:spacing w:before="120" w:line="276" w:lineRule="auto"/>
              <w:contextualSpacing/>
              <w:rPr>
                <w:sz w:val="20"/>
                <w:szCs w:val="20"/>
              </w:rPr>
            </w:pP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14:paraId="4C45E8E8" w14:textId="77777777" w:rsidR="00737D04" w:rsidRPr="00AD3460" w:rsidRDefault="00737D04" w:rsidP="00475FA2">
            <w:pPr>
              <w:spacing w:before="120" w:line="276" w:lineRule="auto"/>
              <w:contextualSpacing/>
              <w:jc w:val="center"/>
              <w:rPr>
                <w:sz w:val="20"/>
                <w:szCs w:val="20"/>
              </w:rPr>
            </w:pPr>
            <w:r w:rsidRPr="00AD3460">
              <w:rPr>
                <w:rFonts w:eastAsia="Arial"/>
                <w:sz w:val="20"/>
                <w:szCs w:val="20"/>
              </w:rPr>
              <w:t>Frequency</w:t>
            </w:r>
          </w:p>
        </w:tc>
        <w:tc>
          <w:tcPr>
            <w:tcW w:w="1257" w:type="dxa"/>
            <w:tcBorders>
              <w:top w:val="single" w:sz="4" w:space="0" w:color="auto"/>
              <w:left w:val="single" w:sz="4" w:space="0" w:color="auto"/>
              <w:bottom w:val="single" w:sz="4" w:space="0" w:color="auto"/>
              <w:right w:val="single" w:sz="4" w:space="0" w:color="auto"/>
            </w:tcBorders>
            <w:shd w:val="clear" w:color="auto" w:fill="auto"/>
            <w:vAlign w:val="bottom"/>
          </w:tcPr>
          <w:p w14:paraId="3104F688" w14:textId="77777777" w:rsidR="00737D04" w:rsidRPr="00AD3460" w:rsidRDefault="00737D04" w:rsidP="00475FA2">
            <w:pPr>
              <w:spacing w:before="120" w:line="276" w:lineRule="auto"/>
              <w:contextualSpacing/>
              <w:jc w:val="center"/>
              <w:rPr>
                <w:sz w:val="20"/>
                <w:szCs w:val="20"/>
              </w:rPr>
            </w:pPr>
            <w:r w:rsidRPr="00AD3460">
              <w:rPr>
                <w:rFonts w:eastAsia="Arial"/>
                <w:sz w:val="20"/>
                <w:szCs w:val="20"/>
              </w:rPr>
              <w:t>Percent</w:t>
            </w:r>
          </w:p>
        </w:tc>
        <w:tc>
          <w:tcPr>
            <w:tcW w:w="1591" w:type="dxa"/>
            <w:tcBorders>
              <w:top w:val="single" w:sz="4" w:space="0" w:color="auto"/>
              <w:left w:val="single" w:sz="4" w:space="0" w:color="auto"/>
              <w:bottom w:val="single" w:sz="4" w:space="0" w:color="auto"/>
              <w:right w:val="single" w:sz="4" w:space="0" w:color="auto"/>
            </w:tcBorders>
            <w:shd w:val="clear" w:color="auto" w:fill="auto"/>
            <w:vAlign w:val="bottom"/>
          </w:tcPr>
          <w:p w14:paraId="2672889D" w14:textId="77777777" w:rsidR="00737D04" w:rsidRPr="00AD3460" w:rsidRDefault="00737D04" w:rsidP="00475FA2">
            <w:pPr>
              <w:spacing w:before="120" w:line="276" w:lineRule="auto"/>
              <w:contextualSpacing/>
              <w:jc w:val="center"/>
              <w:rPr>
                <w:sz w:val="20"/>
                <w:szCs w:val="20"/>
              </w:rPr>
            </w:pPr>
            <w:r w:rsidRPr="00AD3460">
              <w:rPr>
                <w:rFonts w:eastAsia="Arial"/>
                <w:sz w:val="20"/>
                <w:szCs w:val="20"/>
              </w:rPr>
              <w:t>Valid Percent</w:t>
            </w:r>
          </w:p>
        </w:tc>
        <w:tc>
          <w:tcPr>
            <w:tcW w:w="1813" w:type="dxa"/>
            <w:tcBorders>
              <w:top w:val="single" w:sz="4" w:space="0" w:color="auto"/>
              <w:left w:val="single" w:sz="4" w:space="0" w:color="auto"/>
              <w:bottom w:val="single" w:sz="4" w:space="0" w:color="auto"/>
              <w:right w:val="single" w:sz="4" w:space="0" w:color="auto"/>
            </w:tcBorders>
            <w:shd w:val="clear" w:color="auto" w:fill="auto"/>
            <w:vAlign w:val="bottom"/>
          </w:tcPr>
          <w:p w14:paraId="12EFB446" w14:textId="77777777" w:rsidR="00737D04" w:rsidRPr="00AD3460" w:rsidRDefault="00737D04" w:rsidP="00475FA2">
            <w:pPr>
              <w:spacing w:before="120" w:line="276" w:lineRule="auto"/>
              <w:contextualSpacing/>
              <w:jc w:val="center"/>
              <w:rPr>
                <w:sz w:val="20"/>
                <w:szCs w:val="20"/>
              </w:rPr>
            </w:pPr>
            <w:r w:rsidRPr="00AD3460">
              <w:rPr>
                <w:rFonts w:eastAsia="Arial"/>
                <w:sz w:val="20"/>
                <w:szCs w:val="20"/>
              </w:rPr>
              <w:t>Cumulative Percent</w:t>
            </w:r>
          </w:p>
        </w:tc>
      </w:tr>
      <w:tr w:rsidR="00AD3460" w:rsidRPr="00AD3460" w14:paraId="60B0A8EF" w14:textId="77777777" w:rsidTr="00BC2511">
        <w:trPr>
          <w:trHeight w:val="314"/>
        </w:trPr>
        <w:tc>
          <w:tcPr>
            <w:tcW w:w="906" w:type="dxa"/>
            <w:vMerge w:val="restart"/>
            <w:tcBorders>
              <w:top w:val="single" w:sz="4" w:space="0" w:color="auto"/>
              <w:left w:val="single" w:sz="4" w:space="0" w:color="auto"/>
              <w:bottom w:val="single" w:sz="4" w:space="0" w:color="auto"/>
              <w:right w:val="single" w:sz="4" w:space="0" w:color="auto"/>
            </w:tcBorders>
            <w:shd w:val="clear" w:color="auto" w:fill="auto"/>
          </w:tcPr>
          <w:p w14:paraId="04E2E4D2" w14:textId="77777777" w:rsidR="00737D04" w:rsidRPr="00AD3460" w:rsidRDefault="00737D04" w:rsidP="00475FA2">
            <w:pPr>
              <w:spacing w:before="120" w:line="276" w:lineRule="auto"/>
              <w:contextualSpacing/>
              <w:rPr>
                <w:sz w:val="20"/>
                <w:szCs w:val="20"/>
              </w:rPr>
            </w:pPr>
            <w:r w:rsidRPr="00AD3460">
              <w:rPr>
                <w:rFonts w:eastAsia="Arial"/>
                <w:sz w:val="20"/>
                <w:szCs w:val="20"/>
              </w:rPr>
              <w:t>Valid</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0F710038" w14:textId="77777777" w:rsidR="00737D04" w:rsidRPr="00AD3460" w:rsidRDefault="00737D04" w:rsidP="00475FA2">
            <w:pPr>
              <w:spacing w:before="120" w:line="276" w:lineRule="auto"/>
              <w:contextualSpacing/>
              <w:rPr>
                <w:sz w:val="20"/>
                <w:szCs w:val="20"/>
              </w:rPr>
            </w:pPr>
            <w:r w:rsidRPr="00AD3460">
              <w:rPr>
                <w:rFonts w:eastAsia="Arial"/>
                <w:sz w:val="20"/>
                <w:szCs w:val="20"/>
              </w:rPr>
              <w:t>Financial Advisor</w:t>
            </w:r>
          </w:p>
        </w:tc>
        <w:tc>
          <w:tcPr>
            <w:tcW w:w="1313" w:type="dxa"/>
            <w:tcBorders>
              <w:top w:val="single" w:sz="4" w:space="0" w:color="auto"/>
              <w:left w:val="single" w:sz="4" w:space="0" w:color="auto"/>
              <w:bottom w:val="single" w:sz="4" w:space="0" w:color="auto"/>
              <w:right w:val="single" w:sz="4" w:space="0" w:color="auto"/>
            </w:tcBorders>
            <w:shd w:val="clear" w:color="auto" w:fill="auto"/>
          </w:tcPr>
          <w:p w14:paraId="7D221318" w14:textId="77777777" w:rsidR="00737D04" w:rsidRPr="00AD3460" w:rsidRDefault="00737D04" w:rsidP="00BC2511">
            <w:pPr>
              <w:spacing w:before="120" w:line="276" w:lineRule="auto"/>
              <w:contextualSpacing/>
              <w:jc w:val="center"/>
              <w:rPr>
                <w:sz w:val="20"/>
                <w:szCs w:val="20"/>
              </w:rPr>
            </w:pPr>
            <w:r w:rsidRPr="00AD3460">
              <w:rPr>
                <w:rFonts w:eastAsia="Arial"/>
                <w:sz w:val="20"/>
                <w:szCs w:val="20"/>
              </w:rPr>
              <w:t>46</w:t>
            </w:r>
          </w:p>
        </w:tc>
        <w:tc>
          <w:tcPr>
            <w:tcW w:w="1257" w:type="dxa"/>
            <w:tcBorders>
              <w:top w:val="single" w:sz="4" w:space="0" w:color="auto"/>
              <w:left w:val="single" w:sz="4" w:space="0" w:color="auto"/>
              <w:bottom w:val="single" w:sz="4" w:space="0" w:color="auto"/>
              <w:right w:val="single" w:sz="4" w:space="0" w:color="auto"/>
            </w:tcBorders>
            <w:shd w:val="clear" w:color="auto" w:fill="auto"/>
          </w:tcPr>
          <w:p w14:paraId="1F438D1C" w14:textId="77777777" w:rsidR="00737D04" w:rsidRPr="00AD3460" w:rsidRDefault="00737D04" w:rsidP="00BC2511">
            <w:pPr>
              <w:spacing w:before="120" w:line="276" w:lineRule="auto"/>
              <w:contextualSpacing/>
              <w:jc w:val="center"/>
              <w:rPr>
                <w:sz w:val="20"/>
                <w:szCs w:val="20"/>
              </w:rPr>
            </w:pPr>
            <w:r w:rsidRPr="00AD3460">
              <w:rPr>
                <w:rFonts w:eastAsia="Arial"/>
                <w:sz w:val="20"/>
                <w:szCs w:val="20"/>
              </w:rPr>
              <w:t>23.0</w:t>
            </w:r>
          </w:p>
        </w:tc>
        <w:tc>
          <w:tcPr>
            <w:tcW w:w="1591" w:type="dxa"/>
            <w:tcBorders>
              <w:top w:val="single" w:sz="4" w:space="0" w:color="auto"/>
              <w:left w:val="single" w:sz="4" w:space="0" w:color="auto"/>
              <w:bottom w:val="single" w:sz="4" w:space="0" w:color="auto"/>
              <w:right w:val="single" w:sz="4" w:space="0" w:color="auto"/>
            </w:tcBorders>
            <w:shd w:val="clear" w:color="auto" w:fill="auto"/>
          </w:tcPr>
          <w:p w14:paraId="7D893BB7" w14:textId="77777777" w:rsidR="00737D04" w:rsidRPr="00AD3460" w:rsidRDefault="00737D04" w:rsidP="00BC2511">
            <w:pPr>
              <w:spacing w:before="120" w:line="276" w:lineRule="auto"/>
              <w:contextualSpacing/>
              <w:jc w:val="center"/>
              <w:rPr>
                <w:sz w:val="20"/>
                <w:szCs w:val="20"/>
              </w:rPr>
            </w:pPr>
            <w:r w:rsidRPr="00AD3460">
              <w:rPr>
                <w:rFonts w:eastAsia="Arial"/>
                <w:sz w:val="20"/>
                <w:szCs w:val="20"/>
              </w:rPr>
              <w:t>23.0</w:t>
            </w:r>
          </w:p>
        </w:tc>
        <w:tc>
          <w:tcPr>
            <w:tcW w:w="1813" w:type="dxa"/>
            <w:tcBorders>
              <w:top w:val="single" w:sz="4" w:space="0" w:color="auto"/>
              <w:left w:val="single" w:sz="4" w:space="0" w:color="auto"/>
              <w:bottom w:val="single" w:sz="4" w:space="0" w:color="auto"/>
              <w:right w:val="single" w:sz="4" w:space="0" w:color="auto"/>
            </w:tcBorders>
            <w:shd w:val="clear" w:color="auto" w:fill="auto"/>
          </w:tcPr>
          <w:p w14:paraId="14C4E5CD" w14:textId="77777777" w:rsidR="00737D04" w:rsidRPr="00AD3460" w:rsidRDefault="00737D04" w:rsidP="00BC2511">
            <w:pPr>
              <w:spacing w:before="120" w:line="276" w:lineRule="auto"/>
              <w:contextualSpacing/>
              <w:jc w:val="center"/>
              <w:rPr>
                <w:sz w:val="20"/>
                <w:szCs w:val="20"/>
              </w:rPr>
            </w:pPr>
            <w:r w:rsidRPr="00AD3460">
              <w:rPr>
                <w:rFonts w:eastAsia="Arial"/>
                <w:sz w:val="20"/>
                <w:szCs w:val="20"/>
              </w:rPr>
              <w:t>23.0</w:t>
            </w:r>
          </w:p>
        </w:tc>
      </w:tr>
      <w:tr w:rsidR="00AD3460" w:rsidRPr="00AD3460" w14:paraId="1DC8F568" w14:textId="77777777" w:rsidTr="00BC2511">
        <w:trPr>
          <w:trHeight w:val="163"/>
        </w:trPr>
        <w:tc>
          <w:tcPr>
            <w:tcW w:w="906" w:type="dxa"/>
            <w:vMerge/>
            <w:tcBorders>
              <w:top w:val="single" w:sz="4" w:space="0" w:color="auto"/>
              <w:left w:val="single" w:sz="4" w:space="0" w:color="auto"/>
              <w:bottom w:val="single" w:sz="4" w:space="0" w:color="auto"/>
              <w:right w:val="single" w:sz="4" w:space="0" w:color="auto"/>
            </w:tcBorders>
            <w:shd w:val="clear" w:color="auto" w:fill="auto"/>
          </w:tcPr>
          <w:p w14:paraId="744DD341" w14:textId="77777777" w:rsidR="00737D04" w:rsidRPr="00AD3460" w:rsidRDefault="00737D04" w:rsidP="00475FA2">
            <w:pPr>
              <w:spacing w:before="120" w:line="276" w:lineRule="auto"/>
              <w:contextualSpacing/>
              <w:rPr>
                <w:sz w:val="20"/>
                <w:szCs w:val="20"/>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68AE5D2C" w14:textId="77777777" w:rsidR="00737D04" w:rsidRPr="00AD3460" w:rsidRDefault="00737D04" w:rsidP="00475FA2">
            <w:pPr>
              <w:spacing w:before="120" w:line="276" w:lineRule="auto"/>
              <w:contextualSpacing/>
              <w:rPr>
                <w:sz w:val="20"/>
                <w:szCs w:val="20"/>
              </w:rPr>
            </w:pPr>
            <w:r w:rsidRPr="00AD3460">
              <w:rPr>
                <w:rFonts w:eastAsia="Arial"/>
                <w:sz w:val="20"/>
                <w:szCs w:val="20"/>
              </w:rPr>
              <w:t>Social Media</w:t>
            </w:r>
          </w:p>
        </w:tc>
        <w:tc>
          <w:tcPr>
            <w:tcW w:w="1313" w:type="dxa"/>
            <w:tcBorders>
              <w:top w:val="single" w:sz="4" w:space="0" w:color="auto"/>
              <w:left w:val="single" w:sz="4" w:space="0" w:color="auto"/>
              <w:bottom w:val="single" w:sz="4" w:space="0" w:color="auto"/>
              <w:right w:val="single" w:sz="4" w:space="0" w:color="auto"/>
            </w:tcBorders>
            <w:shd w:val="clear" w:color="auto" w:fill="auto"/>
          </w:tcPr>
          <w:p w14:paraId="043944DE" w14:textId="77777777" w:rsidR="00737D04" w:rsidRPr="00AD3460" w:rsidRDefault="00737D04" w:rsidP="00BC2511">
            <w:pPr>
              <w:spacing w:before="120" w:line="276" w:lineRule="auto"/>
              <w:contextualSpacing/>
              <w:jc w:val="center"/>
              <w:rPr>
                <w:sz w:val="20"/>
                <w:szCs w:val="20"/>
              </w:rPr>
            </w:pPr>
            <w:r w:rsidRPr="00AD3460">
              <w:rPr>
                <w:rFonts w:eastAsia="Arial"/>
                <w:sz w:val="20"/>
                <w:szCs w:val="20"/>
              </w:rPr>
              <w:t>90</w:t>
            </w:r>
          </w:p>
        </w:tc>
        <w:tc>
          <w:tcPr>
            <w:tcW w:w="1257" w:type="dxa"/>
            <w:tcBorders>
              <w:top w:val="single" w:sz="4" w:space="0" w:color="auto"/>
              <w:left w:val="single" w:sz="4" w:space="0" w:color="auto"/>
              <w:bottom w:val="single" w:sz="4" w:space="0" w:color="auto"/>
              <w:right w:val="single" w:sz="4" w:space="0" w:color="auto"/>
            </w:tcBorders>
            <w:shd w:val="clear" w:color="auto" w:fill="auto"/>
          </w:tcPr>
          <w:p w14:paraId="2413B0FF" w14:textId="77777777" w:rsidR="00737D04" w:rsidRPr="00AD3460" w:rsidRDefault="00737D04" w:rsidP="00BC2511">
            <w:pPr>
              <w:spacing w:before="120" w:line="276" w:lineRule="auto"/>
              <w:contextualSpacing/>
              <w:jc w:val="center"/>
              <w:rPr>
                <w:sz w:val="20"/>
                <w:szCs w:val="20"/>
              </w:rPr>
            </w:pPr>
            <w:r w:rsidRPr="00AD3460">
              <w:rPr>
                <w:rFonts w:eastAsia="Arial"/>
                <w:sz w:val="20"/>
                <w:szCs w:val="20"/>
              </w:rPr>
              <w:t>45.0</w:t>
            </w:r>
          </w:p>
        </w:tc>
        <w:tc>
          <w:tcPr>
            <w:tcW w:w="1591" w:type="dxa"/>
            <w:tcBorders>
              <w:top w:val="single" w:sz="4" w:space="0" w:color="auto"/>
              <w:left w:val="single" w:sz="4" w:space="0" w:color="auto"/>
              <w:bottom w:val="single" w:sz="4" w:space="0" w:color="auto"/>
              <w:right w:val="single" w:sz="4" w:space="0" w:color="auto"/>
            </w:tcBorders>
            <w:shd w:val="clear" w:color="auto" w:fill="auto"/>
          </w:tcPr>
          <w:p w14:paraId="2279F0E5" w14:textId="77777777" w:rsidR="00737D04" w:rsidRPr="00AD3460" w:rsidRDefault="00737D04" w:rsidP="00BC2511">
            <w:pPr>
              <w:spacing w:before="120" w:line="276" w:lineRule="auto"/>
              <w:contextualSpacing/>
              <w:jc w:val="center"/>
              <w:rPr>
                <w:sz w:val="20"/>
                <w:szCs w:val="20"/>
              </w:rPr>
            </w:pPr>
            <w:r w:rsidRPr="00AD3460">
              <w:rPr>
                <w:rFonts w:eastAsia="Arial"/>
                <w:sz w:val="20"/>
                <w:szCs w:val="20"/>
              </w:rPr>
              <w:t>45.0</w:t>
            </w:r>
          </w:p>
        </w:tc>
        <w:tc>
          <w:tcPr>
            <w:tcW w:w="1813" w:type="dxa"/>
            <w:tcBorders>
              <w:top w:val="single" w:sz="4" w:space="0" w:color="auto"/>
              <w:left w:val="single" w:sz="4" w:space="0" w:color="auto"/>
              <w:bottom w:val="single" w:sz="4" w:space="0" w:color="auto"/>
              <w:right w:val="single" w:sz="4" w:space="0" w:color="auto"/>
            </w:tcBorders>
            <w:shd w:val="clear" w:color="auto" w:fill="auto"/>
          </w:tcPr>
          <w:p w14:paraId="3B1B34E4" w14:textId="77777777" w:rsidR="00737D04" w:rsidRPr="00AD3460" w:rsidRDefault="00737D04" w:rsidP="00BC2511">
            <w:pPr>
              <w:spacing w:before="120" w:line="276" w:lineRule="auto"/>
              <w:contextualSpacing/>
              <w:jc w:val="center"/>
              <w:rPr>
                <w:sz w:val="20"/>
                <w:szCs w:val="20"/>
              </w:rPr>
            </w:pPr>
            <w:r w:rsidRPr="00AD3460">
              <w:rPr>
                <w:rFonts w:eastAsia="Arial"/>
                <w:sz w:val="20"/>
                <w:szCs w:val="20"/>
              </w:rPr>
              <w:t>68.0</w:t>
            </w:r>
          </w:p>
        </w:tc>
      </w:tr>
      <w:tr w:rsidR="00AD3460" w:rsidRPr="00AD3460" w14:paraId="5C20DD5C" w14:textId="77777777" w:rsidTr="00BC2511">
        <w:trPr>
          <w:trHeight w:val="163"/>
        </w:trPr>
        <w:tc>
          <w:tcPr>
            <w:tcW w:w="906" w:type="dxa"/>
            <w:vMerge/>
            <w:tcBorders>
              <w:top w:val="single" w:sz="4" w:space="0" w:color="auto"/>
              <w:left w:val="single" w:sz="4" w:space="0" w:color="auto"/>
              <w:bottom w:val="single" w:sz="4" w:space="0" w:color="auto"/>
              <w:right w:val="single" w:sz="4" w:space="0" w:color="auto"/>
            </w:tcBorders>
            <w:shd w:val="clear" w:color="auto" w:fill="auto"/>
          </w:tcPr>
          <w:p w14:paraId="417B63CF" w14:textId="77777777" w:rsidR="00737D04" w:rsidRPr="00AD3460" w:rsidRDefault="00737D04" w:rsidP="00475FA2">
            <w:pPr>
              <w:spacing w:before="120" w:line="276" w:lineRule="auto"/>
              <w:contextualSpacing/>
              <w:rPr>
                <w:sz w:val="20"/>
                <w:szCs w:val="20"/>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35B0CB8D" w14:textId="77777777" w:rsidR="00737D04" w:rsidRPr="00AD3460" w:rsidRDefault="00737D04" w:rsidP="00475FA2">
            <w:pPr>
              <w:spacing w:before="120" w:line="276" w:lineRule="auto"/>
              <w:contextualSpacing/>
              <w:rPr>
                <w:sz w:val="20"/>
                <w:szCs w:val="20"/>
              </w:rPr>
            </w:pPr>
            <w:r w:rsidRPr="00AD3460">
              <w:rPr>
                <w:rFonts w:eastAsia="Arial"/>
                <w:sz w:val="20"/>
                <w:szCs w:val="20"/>
              </w:rPr>
              <w:t>News Article</w:t>
            </w:r>
          </w:p>
        </w:tc>
        <w:tc>
          <w:tcPr>
            <w:tcW w:w="1313" w:type="dxa"/>
            <w:tcBorders>
              <w:top w:val="single" w:sz="4" w:space="0" w:color="auto"/>
              <w:left w:val="single" w:sz="4" w:space="0" w:color="auto"/>
              <w:bottom w:val="single" w:sz="4" w:space="0" w:color="auto"/>
              <w:right w:val="single" w:sz="4" w:space="0" w:color="auto"/>
            </w:tcBorders>
            <w:shd w:val="clear" w:color="auto" w:fill="auto"/>
          </w:tcPr>
          <w:p w14:paraId="5A7DA169" w14:textId="77777777" w:rsidR="00737D04" w:rsidRPr="00AD3460" w:rsidRDefault="00737D04" w:rsidP="00BC2511">
            <w:pPr>
              <w:spacing w:before="120" w:line="276" w:lineRule="auto"/>
              <w:contextualSpacing/>
              <w:jc w:val="center"/>
              <w:rPr>
                <w:sz w:val="20"/>
                <w:szCs w:val="20"/>
              </w:rPr>
            </w:pPr>
            <w:r w:rsidRPr="00AD3460">
              <w:rPr>
                <w:rFonts w:eastAsia="Arial"/>
                <w:sz w:val="20"/>
                <w:szCs w:val="20"/>
              </w:rPr>
              <w:t>28</w:t>
            </w:r>
          </w:p>
        </w:tc>
        <w:tc>
          <w:tcPr>
            <w:tcW w:w="1257" w:type="dxa"/>
            <w:tcBorders>
              <w:top w:val="single" w:sz="4" w:space="0" w:color="auto"/>
              <w:left w:val="single" w:sz="4" w:space="0" w:color="auto"/>
              <w:bottom w:val="single" w:sz="4" w:space="0" w:color="auto"/>
              <w:right w:val="single" w:sz="4" w:space="0" w:color="auto"/>
            </w:tcBorders>
            <w:shd w:val="clear" w:color="auto" w:fill="auto"/>
          </w:tcPr>
          <w:p w14:paraId="20A61409" w14:textId="77777777" w:rsidR="00737D04" w:rsidRPr="00AD3460" w:rsidRDefault="00737D04" w:rsidP="00BC2511">
            <w:pPr>
              <w:spacing w:before="120" w:line="276" w:lineRule="auto"/>
              <w:contextualSpacing/>
              <w:jc w:val="center"/>
              <w:rPr>
                <w:sz w:val="20"/>
                <w:szCs w:val="20"/>
              </w:rPr>
            </w:pPr>
            <w:r w:rsidRPr="00AD3460">
              <w:rPr>
                <w:rFonts w:eastAsia="Arial"/>
                <w:sz w:val="20"/>
                <w:szCs w:val="20"/>
              </w:rPr>
              <w:t>14.0</w:t>
            </w:r>
          </w:p>
        </w:tc>
        <w:tc>
          <w:tcPr>
            <w:tcW w:w="1591" w:type="dxa"/>
            <w:tcBorders>
              <w:top w:val="single" w:sz="4" w:space="0" w:color="auto"/>
              <w:left w:val="single" w:sz="4" w:space="0" w:color="auto"/>
              <w:bottom w:val="single" w:sz="4" w:space="0" w:color="auto"/>
              <w:right w:val="single" w:sz="4" w:space="0" w:color="auto"/>
            </w:tcBorders>
            <w:shd w:val="clear" w:color="auto" w:fill="auto"/>
          </w:tcPr>
          <w:p w14:paraId="1E5B5D69" w14:textId="77777777" w:rsidR="00737D04" w:rsidRPr="00AD3460" w:rsidRDefault="00737D04" w:rsidP="00BC2511">
            <w:pPr>
              <w:spacing w:before="120" w:line="276" w:lineRule="auto"/>
              <w:contextualSpacing/>
              <w:jc w:val="center"/>
              <w:rPr>
                <w:sz w:val="20"/>
                <w:szCs w:val="20"/>
              </w:rPr>
            </w:pPr>
            <w:r w:rsidRPr="00AD3460">
              <w:rPr>
                <w:rFonts w:eastAsia="Arial"/>
                <w:sz w:val="20"/>
                <w:szCs w:val="20"/>
              </w:rPr>
              <w:t>14.0</w:t>
            </w:r>
          </w:p>
        </w:tc>
        <w:tc>
          <w:tcPr>
            <w:tcW w:w="1813" w:type="dxa"/>
            <w:tcBorders>
              <w:top w:val="single" w:sz="4" w:space="0" w:color="auto"/>
              <w:left w:val="single" w:sz="4" w:space="0" w:color="auto"/>
              <w:bottom w:val="single" w:sz="4" w:space="0" w:color="auto"/>
              <w:right w:val="single" w:sz="4" w:space="0" w:color="auto"/>
            </w:tcBorders>
            <w:shd w:val="clear" w:color="auto" w:fill="auto"/>
          </w:tcPr>
          <w:p w14:paraId="321B4B34" w14:textId="77777777" w:rsidR="00737D04" w:rsidRPr="00AD3460" w:rsidRDefault="00737D04" w:rsidP="00BC2511">
            <w:pPr>
              <w:spacing w:before="120" w:line="276" w:lineRule="auto"/>
              <w:contextualSpacing/>
              <w:jc w:val="center"/>
              <w:rPr>
                <w:sz w:val="20"/>
                <w:szCs w:val="20"/>
              </w:rPr>
            </w:pPr>
            <w:r w:rsidRPr="00AD3460">
              <w:rPr>
                <w:rFonts w:eastAsia="Arial"/>
                <w:sz w:val="20"/>
                <w:szCs w:val="20"/>
              </w:rPr>
              <w:t>82.0</w:t>
            </w:r>
          </w:p>
        </w:tc>
      </w:tr>
      <w:tr w:rsidR="00AD3460" w:rsidRPr="00AD3460" w14:paraId="73352647" w14:textId="77777777" w:rsidTr="00BC2511">
        <w:trPr>
          <w:trHeight w:val="163"/>
        </w:trPr>
        <w:tc>
          <w:tcPr>
            <w:tcW w:w="906" w:type="dxa"/>
            <w:vMerge/>
            <w:tcBorders>
              <w:top w:val="single" w:sz="4" w:space="0" w:color="auto"/>
              <w:left w:val="single" w:sz="4" w:space="0" w:color="auto"/>
              <w:bottom w:val="single" w:sz="4" w:space="0" w:color="auto"/>
              <w:right w:val="single" w:sz="4" w:space="0" w:color="auto"/>
            </w:tcBorders>
            <w:shd w:val="clear" w:color="auto" w:fill="auto"/>
          </w:tcPr>
          <w:p w14:paraId="73D8F998" w14:textId="77777777" w:rsidR="00737D04" w:rsidRPr="00AD3460" w:rsidRDefault="00737D04" w:rsidP="00475FA2">
            <w:pPr>
              <w:spacing w:before="120" w:line="276" w:lineRule="auto"/>
              <w:contextualSpacing/>
              <w:rPr>
                <w:sz w:val="20"/>
                <w:szCs w:val="20"/>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65EC40FD" w14:textId="77777777" w:rsidR="00737D04" w:rsidRPr="00AD3460" w:rsidRDefault="00737D04" w:rsidP="00475FA2">
            <w:pPr>
              <w:spacing w:before="120" w:line="276" w:lineRule="auto"/>
              <w:contextualSpacing/>
              <w:rPr>
                <w:sz w:val="20"/>
                <w:szCs w:val="20"/>
              </w:rPr>
            </w:pPr>
            <w:r w:rsidRPr="00AD3460">
              <w:rPr>
                <w:rFonts w:eastAsia="Arial"/>
                <w:sz w:val="20"/>
                <w:szCs w:val="20"/>
              </w:rPr>
              <w:t>Investment Platforms</w:t>
            </w:r>
          </w:p>
        </w:tc>
        <w:tc>
          <w:tcPr>
            <w:tcW w:w="1313" w:type="dxa"/>
            <w:tcBorders>
              <w:top w:val="single" w:sz="4" w:space="0" w:color="auto"/>
              <w:left w:val="single" w:sz="4" w:space="0" w:color="auto"/>
              <w:bottom w:val="single" w:sz="4" w:space="0" w:color="auto"/>
              <w:right w:val="single" w:sz="4" w:space="0" w:color="auto"/>
            </w:tcBorders>
            <w:shd w:val="clear" w:color="auto" w:fill="auto"/>
          </w:tcPr>
          <w:p w14:paraId="33862505" w14:textId="77777777" w:rsidR="00737D04" w:rsidRPr="00AD3460" w:rsidRDefault="00737D04" w:rsidP="00BC2511">
            <w:pPr>
              <w:spacing w:before="120" w:line="276" w:lineRule="auto"/>
              <w:contextualSpacing/>
              <w:jc w:val="center"/>
              <w:rPr>
                <w:sz w:val="20"/>
                <w:szCs w:val="20"/>
              </w:rPr>
            </w:pPr>
            <w:r w:rsidRPr="00AD3460">
              <w:rPr>
                <w:rFonts w:eastAsia="Arial"/>
                <w:sz w:val="20"/>
                <w:szCs w:val="20"/>
              </w:rPr>
              <w:t>36</w:t>
            </w:r>
          </w:p>
        </w:tc>
        <w:tc>
          <w:tcPr>
            <w:tcW w:w="1257" w:type="dxa"/>
            <w:tcBorders>
              <w:top w:val="single" w:sz="4" w:space="0" w:color="auto"/>
              <w:left w:val="single" w:sz="4" w:space="0" w:color="auto"/>
              <w:bottom w:val="single" w:sz="4" w:space="0" w:color="auto"/>
              <w:right w:val="single" w:sz="4" w:space="0" w:color="auto"/>
            </w:tcBorders>
            <w:shd w:val="clear" w:color="auto" w:fill="auto"/>
          </w:tcPr>
          <w:p w14:paraId="3C46F500" w14:textId="77777777" w:rsidR="00737D04" w:rsidRPr="00AD3460" w:rsidRDefault="00737D04" w:rsidP="00BC2511">
            <w:pPr>
              <w:spacing w:before="120" w:line="276" w:lineRule="auto"/>
              <w:contextualSpacing/>
              <w:jc w:val="center"/>
              <w:rPr>
                <w:sz w:val="20"/>
                <w:szCs w:val="20"/>
              </w:rPr>
            </w:pPr>
            <w:r w:rsidRPr="00AD3460">
              <w:rPr>
                <w:rFonts w:eastAsia="Arial"/>
                <w:sz w:val="20"/>
                <w:szCs w:val="20"/>
              </w:rPr>
              <w:t>18.0</w:t>
            </w:r>
          </w:p>
        </w:tc>
        <w:tc>
          <w:tcPr>
            <w:tcW w:w="1591" w:type="dxa"/>
            <w:tcBorders>
              <w:top w:val="single" w:sz="4" w:space="0" w:color="auto"/>
              <w:left w:val="single" w:sz="4" w:space="0" w:color="auto"/>
              <w:bottom w:val="single" w:sz="4" w:space="0" w:color="auto"/>
              <w:right w:val="single" w:sz="4" w:space="0" w:color="auto"/>
            </w:tcBorders>
            <w:shd w:val="clear" w:color="auto" w:fill="auto"/>
          </w:tcPr>
          <w:p w14:paraId="0931E615" w14:textId="77777777" w:rsidR="00737D04" w:rsidRPr="00AD3460" w:rsidRDefault="00737D04" w:rsidP="00BC2511">
            <w:pPr>
              <w:spacing w:before="120" w:line="276" w:lineRule="auto"/>
              <w:contextualSpacing/>
              <w:jc w:val="center"/>
              <w:rPr>
                <w:sz w:val="20"/>
                <w:szCs w:val="20"/>
              </w:rPr>
            </w:pPr>
            <w:r w:rsidRPr="00AD3460">
              <w:rPr>
                <w:rFonts w:eastAsia="Arial"/>
                <w:sz w:val="20"/>
                <w:szCs w:val="20"/>
              </w:rPr>
              <w:t>18.0</w:t>
            </w:r>
          </w:p>
        </w:tc>
        <w:tc>
          <w:tcPr>
            <w:tcW w:w="1813" w:type="dxa"/>
            <w:tcBorders>
              <w:top w:val="single" w:sz="4" w:space="0" w:color="auto"/>
              <w:left w:val="single" w:sz="4" w:space="0" w:color="auto"/>
              <w:bottom w:val="single" w:sz="4" w:space="0" w:color="auto"/>
              <w:right w:val="single" w:sz="4" w:space="0" w:color="auto"/>
            </w:tcBorders>
            <w:shd w:val="clear" w:color="auto" w:fill="auto"/>
          </w:tcPr>
          <w:p w14:paraId="5A546861" w14:textId="77777777" w:rsidR="00737D04" w:rsidRPr="00AD3460" w:rsidRDefault="00737D04" w:rsidP="00BC2511">
            <w:pPr>
              <w:spacing w:before="120" w:line="276" w:lineRule="auto"/>
              <w:contextualSpacing/>
              <w:jc w:val="center"/>
              <w:rPr>
                <w:sz w:val="20"/>
                <w:szCs w:val="20"/>
              </w:rPr>
            </w:pPr>
            <w:r w:rsidRPr="00AD3460">
              <w:rPr>
                <w:rFonts w:eastAsia="Arial"/>
                <w:sz w:val="20"/>
                <w:szCs w:val="20"/>
              </w:rPr>
              <w:t>100.0</w:t>
            </w:r>
          </w:p>
        </w:tc>
      </w:tr>
      <w:tr w:rsidR="00AD3460" w:rsidRPr="00AD3460" w14:paraId="7EEA2936" w14:textId="77777777" w:rsidTr="00BC2511">
        <w:trPr>
          <w:trHeight w:val="163"/>
        </w:trPr>
        <w:tc>
          <w:tcPr>
            <w:tcW w:w="906" w:type="dxa"/>
            <w:vMerge/>
            <w:tcBorders>
              <w:top w:val="single" w:sz="4" w:space="0" w:color="auto"/>
              <w:left w:val="single" w:sz="4" w:space="0" w:color="auto"/>
              <w:bottom w:val="single" w:sz="4" w:space="0" w:color="auto"/>
              <w:right w:val="single" w:sz="4" w:space="0" w:color="auto"/>
            </w:tcBorders>
            <w:shd w:val="clear" w:color="auto" w:fill="auto"/>
          </w:tcPr>
          <w:p w14:paraId="590A7837" w14:textId="77777777" w:rsidR="00737D04" w:rsidRPr="00AD3460" w:rsidRDefault="00737D04" w:rsidP="00475FA2">
            <w:pPr>
              <w:spacing w:before="120" w:line="276" w:lineRule="auto"/>
              <w:contextualSpacing/>
              <w:rPr>
                <w:sz w:val="20"/>
                <w:szCs w:val="20"/>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01B2AABA" w14:textId="77777777" w:rsidR="00737D04" w:rsidRPr="00AD3460" w:rsidRDefault="00737D04" w:rsidP="00475FA2">
            <w:pPr>
              <w:spacing w:before="120" w:line="276" w:lineRule="auto"/>
              <w:contextualSpacing/>
              <w:rPr>
                <w:sz w:val="20"/>
                <w:szCs w:val="20"/>
              </w:rPr>
            </w:pPr>
            <w:r w:rsidRPr="00AD3460">
              <w:rPr>
                <w:rFonts w:eastAsia="Arial"/>
                <w:sz w:val="20"/>
                <w:szCs w:val="20"/>
              </w:rPr>
              <w:t>Total</w:t>
            </w:r>
          </w:p>
        </w:tc>
        <w:tc>
          <w:tcPr>
            <w:tcW w:w="1313" w:type="dxa"/>
            <w:tcBorders>
              <w:top w:val="single" w:sz="4" w:space="0" w:color="auto"/>
              <w:left w:val="single" w:sz="4" w:space="0" w:color="auto"/>
              <w:bottom w:val="single" w:sz="4" w:space="0" w:color="auto"/>
              <w:right w:val="single" w:sz="4" w:space="0" w:color="auto"/>
            </w:tcBorders>
            <w:shd w:val="clear" w:color="auto" w:fill="auto"/>
          </w:tcPr>
          <w:p w14:paraId="3E4C65C1" w14:textId="77777777" w:rsidR="00737D04" w:rsidRPr="00AD3460" w:rsidRDefault="00737D04" w:rsidP="00BC2511">
            <w:pPr>
              <w:spacing w:before="120" w:line="276" w:lineRule="auto"/>
              <w:contextualSpacing/>
              <w:jc w:val="center"/>
              <w:rPr>
                <w:sz w:val="20"/>
                <w:szCs w:val="20"/>
              </w:rPr>
            </w:pPr>
            <w:r w:rsidRPr="00AD3460">
              <w:rPr>
                <w:rFonts w:eastAsia="Arial"/>
                <w:sz w:val="20"/>
                <w:szCs w:val="20"/>
              </w:rPr>
              <w:t>200</w:t>
            </w:r>
          </w:p>
        </w:tc>
        <w:tc>
          <w:tcPr>
            <w:tcW w:w="1257" w:type="dxa"/>
            <w:tcBorders>
              <w:top w:val="single" w:sz="4" w:space="0" w:color="auto"/>
              <w:left w:val="single" w:sz="4" w:space="0" w:color="auto"/>
              <w:bottom w:val="single" w:sz="4" w:space="0" w:color="auto"/>
              <w:right w:val="single" w:sz="4" w:space="0" w:color="auto"/>
            </w:tcBorders>
            <w:shd w:val="clear" w:color="auto" w:fill="auto"/>
          </w:tcPr>
          <w:p w14:paraId="13E88232" w14:textId="77777777" w:rsidR="00737D04" w:rsidRPr="00AD3460" w:rsidRDefault="00737D04" w:rsidP="00BC2511">
            <w:pPr>
              <w:spacing w:before="120" w:line="276" w:lineRule="auto"/>
              <w:contextualSpacing/>
              <w:jc w:val="center"/>
              <w:rPr>
                <w:sz w:val="20"/>
                <w:szCs w:val="20"/>
              </w:rPr>
            </w:pPr>
            <w:r w:rsidRPr="00AD3460">
              <w:rPr>
                <w:rFonts w:eastAsia="Arial"/>
                <w:sz w:val="20"/>
                <w:szCs w:val="20"/>
              </w:rPr>
              <w:t>100.0</w:t>
            </w:r>
          </w:p>
        </w:tc>
        <w:tc>
          <w:tcPr>
            <w:tcW w:w="1591" w:type="dxa"/>
            <w:tcBorders>
              <w:top w:val="single" w:sz="4" w:space="0" w:color="auto"/>
              <w:left w:val="single" w:sz="4" w:space="0" w:color="auto"/>
              <w:bottom w:val="single" w:sz="4" w:space="0" w:color="auto"/>
              <w:right w:val="single" w:sz="4" w:space="0" w:color="auto"/>
            </w:tcBorders>
            <w:shd w:val="clear" w:color="auto" w:fill="auto"/>
          </w:tcPr>
          <w:p w14:paraId="59D783EA" w14:textId="77777777" w:rsidR="00737D04" w:rsidRPr="00AD3460" w:rsidRDefault="00737D04" w:rsidP="00BC2511">
            <w:pPr>
              <w:spacing w:before="120" w:line="276" w:lineRule="auto"/>
              <w:contextualSpacing/>
              <w:jc w:val="center"/>
              <w:rPr>
                <w:sz w:val="20"/>
                <w:szCs w:val="20"/>
              </w:rPr>
            </w:pPr>
            <w:r w:rsidRPr="00AD3460">
              <w:rPr>
                <w:rFonts w:eastAsia="Arial"/>
                <w:sz w:val="20"/>
                <w:szCs w:val="20"/>
              </w:rPr>
              <w:t>100.0</w:t>
            </w:r>
          </w:p>
        </w:tc>
        <w:tc>
          <w:tcPr>
            <w:tcW w:w="1813" w:type="dxa"/>
            <w:tcBorders>
              <w:top w:val="single" w:sz="4" w:space="0" w:color="auto"/>
              <w:left w:val="single" w:sz="4" w:space="0" w:color="auto"/>
              <w:bottom w:val="single" w:sz="4" w:space="0" w:color="auto"/>
              <w:right w:val="single" w:sz="4" w:space="0" w:color="auto"/>
            </w:tcBorders>
            <w:shd w:val="clear" w:color="auto" w:fill="auto"/>
          </w:tcPr>
          <w:p w14:paraId="3BEC9A59" w14:textId="77777777" w:rsidR="00737D04" w:rsidRPr="00AD3460" w:rsidRDefault="00737D04" w:rsidP="00BC2511">
            <w:pPr>
              <w:spacing w:before="120" w:line="276" w:lineRule="auto"/>
              <w:contextualSpacing/>
              <w:jc w:val="center"/>
              <w:rPr>
                <w:sz w:val="20"/>
                <w:szCs w:val="20"/>
              </w:rPr>
            </w:pPr>
          </w:p>
        </w:tc>
      </w:tr>
    </w:tbl>
    <w:p w14:paraId="3738AE5E" w14:textId="5888050F" w:rsidR="00737D04" w:rsidRPr="0001291E" w:rsidRDefault="00737D04" w:rsidP="00493138">
      <w:pPr>
        <w:spacing w:before="120" w:line="276" w:lineRule="auto"/>
        <w:rPr>
          <w:sz w:val="20"/>
          <w:szCs w:val="20"/>
        </w:rPr>
      </w:pPr>
      <w:r w:rsidRPr="00AD3460">
        <w:rPr>
          <w:sz w:val="20"/>
          <w:szCs w:val="20"/>
        </w:rPr>
        <w:t xml:space="preserve">       </w:t>
      </w:r>
      <w:r w:rsidRPr="0001291E">
        <w:rPr>
          <w:noProof/>
          <w:sz w:val="20"/>
          <w:szCs w:val="20"/>
          <w:lang w:val="en-IN" w:eastAsia="en-IN"/>
        </w:rPr>
        <w:drawing>
          <wp:inline distT="0" distB="0" distL="0" distR="0" wp14:anchorId="7D77828A" wp14:editId="5C67B831">
            <wp:extent cx="5021580" cy="2766060"/>
            <wp:effectExtent l="0" t="0" r="7620" b="15240"/>
            <wp:docPr id="1962946082" name="Chart 1">
              <a:extLst xmlns:a="http://schemas.openxmlformats.org/drawingml/2006/main">
                <a:ext uri="{FF2B5EF4-FFF2-40B4-BE49-F238E27FC236}">
                  <a16:creationId xmlns:a16="http://schemas.microsoft.com/office/drawing/2014/main" id="{163157BC-6912-5714-17BE-AE22C0216C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AE6081C" w14:textId="77777777" w:rsidR="00475FA2" w:rsidRDefault="00475FA2" w:rsidP="00475FA2">
      <w:pPr>
        <w:spacing w:before="120" w:line="276" w:lineRule="auto"/>
        <w:rPr>
          <w:b/>
          <w:bCs/>
          <w:sz w:val="20"/>
          <w:szCs w:val="20"/>
        </w:rPr>
        <w:sectPr w:rsidR="00475FA2" w:rsidSect="00475FA2">
          <w:type w:val="continuous"/>
          <w:pgSz w:w="12240" w:h="15840" w:code="1"/>
          <w:pgMar w:top="1440" w:right="1440" w:bottom="1440" w:left="1440" w:header="706" w:footer="706" w:gutter="0"/>
          <w:cols w:space="720"/>
          <w:docGrid w:linePitch="299"/>
        </w:sectPr>
      </w:pPr>
    </w:p>
    <w:p w14:paraId="26173E6E" w14:textId="77777777" w:rsidR="00737D04" w:rsidRPr="0001291E" w:rsidRDefault="00737D04" w:rsidP="00475FA2">
      <w:pPr>
        <w:spacing w:before="120" w:line="276" w:lineRule="auto"/>
        <w:rPr>
          <w:b/>
          <w:bCs/>
          <w:sz w:val="20"/>
          <w:szCs w:val="20"/>
        </w:rPr>
      </w:pPr>
      <w:r w:rsidRPr="0001291E">
        <w:rPr>
          <w:b/>
          <w:bCs/>
          <w:sz w:val="20"/>
          <w:szCs w:val="20"/>
        </w:rPr>
        <w:t>Interpretation:</w:t>
      </w:r>
    </w:p>
    <w:p w14:paraId="64C2B9B5" w14:textId="77777777" w:rsidR="00737D04" w:rsidRPr="0001291E" w:rsidRDefault="00737D04" w:rsidP="00475FA2">
      <w:pPr>
        <w:spacing w:before="120" w:line="276" w:lineRule="auto"/>
        <w:jc w:val="both"/>
        <w:rPr>
          <w:sz w:val="20"/>
          <w:szCs w:val="20"/>
        </w:rPr>
      </w:pPr>
      <w:r w:rsidRPr="0001291E">
        <w:rPr>
          <w:sz w:val="20"/>
          <w:szCs w:val="20"/>
        </w:rPr>
        <w:t xml:space="preserve">The table below shows how respondents first learned about ESG investing. It is clear that 45% of respondents were introduced to ESG investing through social media, indicating the growing influence of digital platforms in spreading financial awareness. A significant 23% learned about ESG investing from a </w:t>
      </w:r>
      <w:r w:rsidRPr="0001291E">
        <w:rPr>
          <w:sz w:val="20"/>
          <w:szCs w:val="20"/>
        </w:rPr>
        <w:t xml:space="preserve">financial advisor, suggesting that professional guidance plays a crucial role in educating investors about sustainable investment opportunities. 18% discovered ESG investing through investment platforms, highlighting the role of fintech and brokerage services in promoting ESG-related financial products. A smaller share, 14%, learned about ESG investing from news articles, demonstrating the impact </w:t>
      </w:r>
      <w:r w:rsidRPr="0001291E">
        <w:rPr>
          <w:sz w:val="20"/>
          <w:szCs w:val="20"/>
        </w:rPr>
        <w:lastRenderedPageBreak/>
        <w:t xml:space="preserve">of traditional media in shaping investment knowledge. Overall, the data suggests that social media is the dominant source of ESG awareness, while financial </w:t>
      </w:r>
      <w:r w:rsidRPr="0001291E">
        <w:rPr>
          <w:sz w:val="20"/>
          <w:szCs w:val="20"/>
        </w:rPr>
        <w:t>advisors and investment platforms also play a key role in educating investors.</w:t>
      </w:r>
    </w:p>
    <w:p w14:paraId="75D1F2CF" w14:textId="77777777" w:rsidR="00475FA2" w:rsidRDefault="00475FA2" w:rsidP="00475FA2">
      <w:pPr>
        <w:spacing w:before="120" w:line="276" w:lineRule="auto"/>
        <w:jc w:val="center"/>
        <w:rPr>
          <w:rFonts w:eastAsia="Arial"/>
          <w:b/>
          <w:color w:val="010205"/>
          <w:sz w:val="20"/>
          <w:szCs w:val="20"/>
        </w:rPr>
        <w:sectPr w:rsidR="00475FA2" w:rsidSect="00475FA2">
          <w:type w:val="continuous"/>
          <w:pgSz w:w="12240" w:h="15840" w:code="1"/>
          <w:pgMar w:top="1440" w:right="1440" w:bottom="1440" w:left="1440" w:header="706" w:footer="706" w:gutter="0"/>
          <w:cols w:num="2" w:space="720"/>
          <w:docGrid w:linePitch="299"/>
        </w:sectPr>
      </w:pPr>
    </w:p>
    <w:p w14:paraId="7E9A7B7D" w14:textId="77777777" w:rsidR="00737D04" w:rsidRPr="0001291E" w:rsidRDefault="00737D04" w:rsidP="00475FA2">
      <w:pPr>
        <w:spacing w:before="120" w:line="276" w:lineRule="auto"/>
        <w:jc w:val="center"/>
        <w:rPr>
          <w:rFonts w:eastAsia="Arial"/>
          <w:b/>
          <w:color w:val="010205"/>
          <w:sz w:val="20"/>
          <w:szCs w:val="20"/>
        </w:rPr>
      </w:pPr>
      <w:r w:rsidRPr="0001291E">
        <w:rPr>
          <w:rFonts w:eastAsia="Arial"/>
          <w:b/>
          <w:color w:val="010205"/>
          <w:sz w:val="20"/>
          <w:szCs w:val="20"/>
        </w:rPr>
        <w:t>Which ESG aspect is most important to you when considering investments?</w:t>
      </w:r>
    </w:p>
    <w:tbl>
      <w:tblPr>
        <w:tblStyle w:val="TableGrid"/>
        <w:tblW w:w="0" w:type="auto"/>
        <w:jc w:val="center"/>
        <w:tblLayout w:type="fixed"/>
        <w:tblLook w:val="04A0" w:firstRow="1" w:lastRow="0" w:firstColumn="1" w:lastColumn="0" w:noHBand="0" w:noVBand="1"/>
      </w:tblPr>
      <w:tblGrid>
        <w:gridCol w:w="833"/>
        <w:gridCol w:w="1581"/>
        <w:gridCol w:w="1207"/>
        <w:gridCol w:w="1156"/>
        <w:gridCol w:w="1462"/>
        <w:gridCol w:w="1666"/>
      </w:tblGrid>
      <w:tr w:rsidR="004E0431" w:rsidRPr="004E0431" w14:paraId="0AFF6FDA" w14:textId="77777777" w:rsidTr="00AD3460">
        <w:trPr>
          <w:jc w:val="center"/>
        </w:trPr>
        <w:tc>
          <w:tcPr>
            <w:tcW w:w="2414" w:type="dxa"/>
            <w:gridSpan w:val="2"/>
          </w:tcPr>
          <w:p w14:paraId="38A3D97C" w14:textId="77777777" w:rsidR="00737D04" w:rsidRPr="004E0431" w:rsidRDefault="00737D04" w:rsidP="00475FA2">
            <w:pPr>
              <w:spacing w:before="120" w:line="276" w:lineRule="auto"/>
              <w:contextualSpacing/>
              <w:rPr>
                <w:sz w:val="20"/>
                <w:szCs w:val="20"/>
              </w:rPr>
            </w:pPr>
          </w:p>
        </w:tc>
        <w:tc>
          <w:tcPr>
            <w:tcW w:w="1207" w:type="dxa"/>
          </w:tcPr>
          <w:p w14:paraId="00DB4ED4" w14:textId="77777777" w:rsidR="00737D04" w:rsidRPr="004E0431" w:rsidRDefault="00737D04" w:rsidP="00475FA2">
            <w:pPr>
              <w:spacing w:before="120" w:line="276" w:lineRule="auto"/>
              <w:contextualSpacing/>
              <w:jc w:val="center"/>
              <w:rPr>
                <w:sz w:val="20"/>
                <w:szCs w:val="20"/>
              </w:rPr>
            </w:pPr>
            <w:r w:rsidRPr="004E0431">
              <w:rPr>
                <w:rFonts w:eastAsia="Arial"/>
                <w:sz w:val="20"/>
                <w:szCs w:val="20"/>
              </w:rPr>
              <w:t>Frequency</w:t>
            </w:r>
          </w:p>
        </w:tc>
        <w:tc>
          <w:tcPr>
            <w:tcW w:w="1156" w:type="dxa"/>
          </w:tcPr>
          <w:p w14:paraId="786BDA41" w14:textId="77777777" w:rsidR="00737D04" w:rsidRPr="004E0431" w:rsidRDefault="00737D04" w:rsidP="00475FA2">
            <w:pPr>
              <w:spacing w:before="120" w:line="276" w:lineRule="auto"/>
              <w:contextualSpacing/>
              <w:jc w:val="center"/>
              <w:rPr>
                <w:sz w:val="20"/>
                <w:szCs w:val="20"/>
              </w:rPr>
            </w:pPr>
            <w:r w:rsidRPr="004E0431">
              <w:rPr>
                <w:rFonts w:eastAsia="Arial"/>
                <w:sz w:val="20"/>
                <w:szCs w:val="20"/>
              </w:rPr>
              <w:t>Percent</w:t>
            </w:r>
          </w:p>
        </w:tc>
        <w:tc>
          <w:tcPr>
            <w:tcW w:w="1462" w:type="dxa"/>
          </w:tcPr>
          <w:p w14:paraId="5CA0D524" w14:textId="77777777" w:rsidR="00737D04" w:rsidRPr="004E0431" w:rsidRDefault="00737D04" w:rsidP="00475FA2">
            <w:pPr>
              <w:spacing w:before="120" w:line="276" w:lineRule="auto"/>
              <w:contextualSpacing/>
              <w:jc w:val="center"/>
              <w:rPr>
                <w:sz w:val="20"/>
                <w:szCs w:val="20"/>
              </w:rPr>
            </w:pPr>
            <w:r w:rsidRPr="004E0431">
              <w:rPr>
                <w:rFonts w:eastAsia="Arial"/>
                <w:sz w:val="20"/>
                <w:szCs w:val="20"/>
              </w:rPr>
              <w:t>Valid Percent</w:t>
            </w:r>
          </w:p>
        </w:tc>
        <w:tc>
          <w:tcPr>
            <w:tcW w:w="1666" w:type="dxa"/>
          </w:tcPr>
          <w:p w14:paraId="211DB041" w14:textId="77777777" w:rsidR="00737D04" w:rsidRPr="004E0431" w:rsidRDefault="00737D04" w:rsidP="00475FA2">
            <w:pPr>
              <w:spacing w:before="120" w:line="276" w:lineRule="auto"/>
              <w:contextualSpacing/>
              <w:jc w:val="center"/>
              <w:rPr>
                <w:sz w:val="20"/>
                <w:szCs w:val="20"/>
              </w:rPr>
            </w:pPr>
            <w:r w:rsidRPr="004E0431">
              <w:rPr>
                <w:rFonts w:eastAsia="Arial"/>
                <w:sz w:val="20"/>
                <w:szCs w:val="20"/>
              </w:rPr>
              <w:t>Cumulative Percent</w:t>
            </w:r>
          </w:p>
        </w:tc>
      </w:tr>
      <w:tr w:rsidR="004E0431" w:rsidRPr="004E0431" w14:paraId="0D694F26" w14:textId="77777777" w:rsidTr="00AD3460">
        <w:trPr>
          <w:jc w:val="center"/>
        </w:trPr>
        <w:tc>
          <w:tcPr>
            <w:tcW w:w="833" w:type="dxa"/>
            <w:vMerge w:val="restart"/>
          </w:tcPr>
          <w:p w14:paraId="0472C78E" w14:textId="77777777" w:rsidR="00737D04" w:rsidRPr="004E0431" w:rsidRDefault="00737D04" w:rsidP="00475FA2">
            <w:pPr>
              <w:spacing w:before="120" w:line="276" w:lineRule="auto"/>
              <w:contextualSpacing/>
              <w:rPr>
                <w:sz w:val="20"/>
                <w:szCs w:val="20"/>
              </w:rPr>
            </w:pPr>
            <w:r w:rsidRPr="004E0431">
              <w:rPr>
                <w:rFonts w:eastAsia="Arial"/>
                <w:sz w:val="20"/>
                <w:szCs w:val="20"/>
              </w:rPr>
              <w:t>Valid</w:t>
            </w:r>
          </w:p>
        </w:tc>
        <w:tc>
          <w:tcPr>
            <w:tcW w:w="1581" w:type="dxa"/>
          </w:tcPr>
          <w:p w14:paraId="425E3F65" w14:textId="77777777" w:rsidR="00737D04" w:rsidRPr="004E0431" w:rsidRDefault="00737D04" w:rsidP="00475FA2">
            <w:pPr>
              <w:spacing w:before="120" w:line="276" w:lineRule="auto"/>
              <w:contextualSpacing/>
              <w:rPr>
                <w:sz w:val="20"/>
                <w:szCs w:val="20"/>
              </w:rPr>
            </w:pPr>
            <w:r w:rsidRPr="004E0431">
              <w:rPr>
                <w:rFonts w:eastAsia="Arial"/>
                <w:sz w:val="20"/>
                <w:szCs w:val="20"/>
              </w:rPr>
              <w:t>Environmental</w:t>
            </w:r>
          </w:p>
        </w:tc>
        <w:tc>
          <w:tcPr>
            <w:tcW w:w="1207" w:type="dxa"/>
          </w:tcPr>
          <w:p w14:paraId="34B2D0FF" w14:textId="77777777" w:rsidR="00737D04" w:rsidRPr="004E0431" w:rsidRDefault="00737D04" w:rsidP="00BC2511">
            <w:pPr>
              <w:spacing w:before="120" w:line="276" w:lineRule="auto"/>
              <w:contextualSpacing/>
              <w:jc w:val="center"/>
              <w:rPr>
                <w:sz w:val="20"/>
                <w:szCs w:val="20"/>
              </w:rPr>
            </w:pPr>
            <w:r w:rsidRPr="004E0431">
              <w:rPr>
                <w:rFonts w:eastAsia="Arial"/>
                <w:sz w:val="20"/>
                <w:szCs w:val="20"/>
              </w:rPr>
              <w:t>90</w:t>
            </w:r>
          </w:p>
        </w:tc>
        <w:tc>
          <w:tcPr>
            <w:tcW w:w="1156" w:type="dxa"/>
          </w:tcPr>
          <w:p w14:paraId="4B088F2B" w14:textId="77777777" w:rsidR="00737D04" w:rsidRPr="004E0431" w:rsidRDefault="00737D04" w:rsidP="00BC2511">
            <w:pPr>
              <w:spacing w:before="120" w:line="276" w:lineRule="auto"/>
              <w:contextualSpacing/>
              <w:jc w:val="center"/>
              <w:rPr>
                <w:sz w:val="20"/>
                <w:szCs w:val="20"/>
              </w:rPr>
            </w:pPr>
            <w:r w:rsidRPr="004E0431">
              <w:rPr>
                <w:rFonts w:eastAsia="Arial"/>
                <w:sz w:val="20"/>
                <w:szCs w:val="20"/>
              </w:rPr>
              <w:t>45.0</w:t>
            </w:r>
          </w:p>
        </w:tc>
        <w:tc>
          <w:tcPr>
            <w:tcW w:w="1462" w:type="dxa"/>
          </w:tcPr>
          <w:p w14:paraId="226937DE" w14:textId="77777777" w:rsidR="00737D04" w:rsidRPr="004E0431" w:rsidRDefault="00737D04" w:rsidP="00BC2511">
            <w:pPr>
              <w:spacing w:before="120" w:line="276" w:lineRule="auto"/>
              <w:contextualSpacing/>
              <w:jc w:val="center"/>
              <w:rPr>
                <w:sz w:val="20"/>
                <w:szCs w:val="20"/>
              </w:rPr>
            </w:pPr>
            <w:r w:rsidRPr="004E0431">
              <w:rPr>
                <w:rFonts w:eastAsia="Arial"/>
                <w:sz w:val="20"/>
                <w:szCs w:val="20"/>
              </w:rPr>
              <w:t>45.0</w:t>
            </w:r>
          </w:p>
        </w:tc>
        <w:tc>
          <w:tcPr>
            <w:tcW w:w="1666" w:type="dxa"/>
          </w:tcPr>
          <w:p w14:paraId="399111EC" w14:textId="77777777" w:rsidR="00737D04" w:rsidRPr="004E0431" w:rsidRDefault="00737D04" w:rsidP="00BC2511">
            <w:pPr>
              <w:spacing w:before="120" w:line="276" w:lineRule="auto"/>
              <w:contextualSpacing/>
              <w:jc w:val="center"/>
              <w:rPr>
                <w:sz w:val="20"/>
                <w:szCs w:val="20"/>
              </w:rPr>
            </w:pPr>
            <w:r w:rsidRPr="004E0431">
              <w:rPr>
                <w:rFonts w:eastAsia="Arial"/>
                <w:sz w:val="20"/>
                <w:szCs w:val="20"/>
              </w:rPr>
              <w:t>45.0</w:t>
            </w:r>
          </w:p>
        </w:tc>
      </w:tr>
      <w:tr w:rsidR="004E0431" w:rsidRPr="004E0431" w14:paraId="729B9A87" w14:textId="77777777" w:rsidTr="00AD3460">
        <w:trPr>
          <w:jc w:val="center"/>
        </w:trPr>
        <w:tc>
          <w:tcPr>
            <w:tcW w:w="833" w:type="dxa"/>
            <w:vMerge/>
          </w:tcPr>
          <w:p w14:paraId="1C0E1210" w14:textId="77777777" w:rsidR="00737D04" w:rsidRPr="004E0431" w:rsidRDefault="00737D04" w:rsidP="00475FA2">
            <w:pPr>
              <w:spacing w:before="120" w:line="276" w:lineRule="auto"/>
              <w:contextualSpacing/>
              <w:rPr>
                <w:sz w:val="20"/>
                <w:szCs w:val="20"/>
              </w:rPr>
            </w:pPr>
          </w:p>
        </w:tc>
        <w:tc>
          <w:tcPr>
            <w:tcW w:w="1581" w:type="dxa"/>
          </w:tcPr>
          <w:p w14:paraId="62D7BE8F" w14:textId="77777777" w:rsidR="00737D04" w:rsidRPr="004E0431" w:rsidRDefault="00737D04" w:rsidP="00475FA2">
            <w:pPr>
              <w:spacing w:before="120" w:line="276" w:lineRule="auto"/>
              <w:contextualSpacing/>
              <w:rPr>
                <w:sz w:val="20"/>
                <w:szCs w:val="20"/>
              </w:rPr>
            </w:pPr>
            <w:r w:rsidRPr="004E0431">
              <w:rPr>
                <w:rFonts w:eastAsia="Arial"/>
                <w:sz w:val="20"/>
                <w:szCs w:val="20"/>
              </w:rPr>
              <w:t>Social</w:t>
            </w:r>
          </w:p>
        </w:tc>
        <w:tc>
          <w:tcPr>
            <w:tcW w:w="1207" w:type="dxa"/>
          </w:tcPr>
          <w:p w14:paraId="09B6707C" w14:textId="77777777" w:rsidR="00737D04" w:rsidRPr="004E0431" w:rsidRDefault="00737D04" w:rsidP="00BC2511">
            <w:pPr>
              <w:spacing w:before="120" w:line="276" w:lineRule="auto"/>
              <w:contextualSpacing/>
              <w:jc w:val="center"/>
              <w:rPr>
                <w:sz w:val="20"/>
                <w:szCs w:val="20"/>
              </w:rPr>
            </w:pPr>
            <w:r w:rsidRPr="004E0431">
              <w:rPr>
                <w:rFonts w:eastAsia="Arial"/>
                <w:sz w:val="20"/>
                <w:szCs w:val="20"/>
              </w:rPr>
              <w:t>58</w:t>
            </w:r>
          </w:p>
        </w:tc>
        <w:tc>
          <w:tcPr>
            <w:tcW w:w="1156" w:type="dxa"/>
          </w:tcPr>
          <w:p w14:paraId="3705F42D" w14:textId="77777777" w:rsidR="00737D04" w:rsidRPr="004E0431" w:rsidRDefault="00737D04" w:rsidP="00BC2511">
            <w:pPr>
              <w:spacing w:before="120" w:line="276" w:lineRule="auto"/>
              <w:contextualSpacing/>
              <w:jc w:val="center"/>
              <w:rPr>
                <w:sz w:val="20"/>
                <w:szCs w:val="20"/>
              </w:rPr>
            </w:pPr>
            <w:r w:rsidRPr="004E0431">
              <w:rPr>
                <w:rFonts w:eastAsia="Arial"/>
                <w:sz w:val="20"/>
                <w:szCs w:val="20"/>
              </w:rPr>
              <w:t>29.0</w:t>
            </w:r>
          </w:p>
        </w:tc>
        <w:tc>
          <w:tcPr>
            <w:tcW w:w="1462" w:type="dxa"/>
          </w:tcPr>
          <w:p w14:paraId="7A7545D9" w14:textId="77777777" w:rsidR="00737D04" w:rsidRPr="004E0431" w:rsidRDefault="00737D04" w:rsidP="00BC2511">
            <w:pPr>
              <w:spacing w:before="120" w:line="276" w:lineRule="auto"/>
              <w:contextualSpacing/>
              <w:jc w:val="center"/>
              <w:rPr>
                <w:sz w:val="20"/>
                <w:szCs w:val="20"/>
              </w:rPr>
            </w:pPr>
            <w:r w:rsidRPr="004E0431">
              <w:rPr>
                <w:rFonts w:eastAsia="Arial"/>
                <w:sz w:val="20"/>
                <w:szCs w:val="20"/>
              </w:rPr>
              <w:t>29.0</w:t>
            </w:r>
          </w:p>
        </w:tc>
        <w:tc>
          <w:tcPr>
            <w:tcW w:w="1666" w:type="dxa"/>
          </w:tcPr>
          <w:p w14:paraId="00059E6E" w14:textId="77777777" w:rsidR="00737D04" w:rsidRPr="004E0431" w:rsidRDefault="00737D04" w:rsidP="00BC2511">
            <w:pPr>
              <w:spacing w:before="120" w:line="276" w:lineRule="auto"/>
              <w:contextualSpacing/>
              <w:jc w:val="center"/>
              <w:rPr>
                <w:sz w:val="20"/>
                <w:szCs w:val="20"/>
              </w:rPr>
            </w:pPr>
            <w:r w:rsidRPr="004E0431">
              <w:rPr>
                <w:rFonts w:eastAsia="Arial"/>
                <w:sz w:val="20"/>
                <w:szCs w:val="20"/>
              </w:rPr>
              <w:t>74.0</w:t>
            </w:r>
          </w:p>
        </w:tc>
      </w:tr>
      <w:tr w:rsidR="004E0431" w:rsidRPr="004E0431" w14:paraId="648DF4DA" w14:textId="77777777" w:rsidTr="00AD3460">
        <w:trPr>
          <w:jc w:val="center"/>
        </w:trPr>
        <w:tc>
          <w:tcPr>
            <w:tcW w:w="833" w:type="dxa"/>
            <w:vMerge/>
          </w:tcPr>
          <w:p w14:paraId="56843291" w14:textId="77777777" w:rsidR="00737D04" w:rsidRPr="004E0431" w:rsidRDefault="00737D04" w:rsidP="00475FA2">
            <w:pPr>
              <w:spacing w:before="120" w:line="276" w:lineRule="auto"/>
              <w:contextualSpacing/>
              <w:rPr>
                <w:sz w:val="20"/>
                <w:szCs w:val="20"/>
              </w:rPr>
            </w:pPr>
          </w:p>
        </w:tc>
        <w:tc>
          <w:tcPr>
            <w:tcW w:w="1581" w:type="dxa"/>
          </w:tcPr>
          <w:p w14:paraId="2894C051" w14:textId="77777777" w:rsidR="00737D04" w:rsidRPr="004E0431" w:rsidRDefault="00737D04" w:rsidP="00475FA2">
            <w:pPr>
              <w:spacing w:before="120" w:line="276" w:lineRule="auto"/>
              <w:contextualSpacing/>
              <w:rPr>
                <w:sz w:val="20"/>
                <w:szCs w:val="20"/>
              </w:rPr>
            </w:pPr>
            <w:r w:rsidRPr="004E0431">
              <w:rPr>
                <w:rFonts w:eastAsia="Arial"/>
                <w:sz w:val="20"/>
                <w:szCs w:val="20"/>
              </w:rPr>
              <w:t>Goverence</w:t>
            </w:r>
          </w:p>
        </w:tc>
        <w:tc>
          <w:tcPr>
            <w:tcW w:w="1207" w:type="dxa"/>
          </w:tcPr>
          <w:p w14:paraId="6DA29C85" w14:textId="77777777" w:rsidR="00737D04" w:rsidRPr="004E0431" w:rsidRDefault="00737D04" w:rsidP="00BC2511">
            <w:pPr>
              <w:spacing w:before="120" w:line="276" w:lineRule="auto"/>
              <w:contextualSpacing/>
              <w:jc w:val="center"/>
              <w:rPr>
                <w:sz w:val="20"/>
                <w:szCs w:val="20"/>
              </w:rPr>
            </w:pPr>
            <w:r w:rsidRPr="004E0431">
              <w:rPr>
                <w:rFonts w:eastAsia="Arial"/>
                <w:sz w:val="20"/>
                <w:szCs w:val="20"/>
              </w:rPr>
              <w:t>52</w:t>
            </w:r>
          </w:p>
        </w:tc>
        <w:tc>
          <w:tcPr>
            <w:tcW w:w="1156" w:type="dxa"/>
          </w:tcPr>
          <w:p w14:paraId="125B83E5" w14:textId="77777777" w:rsidR="00737D04" w:rsidRPr="004E0431" w:rsidRDefault="00737D04" w:rsidP="00BC2511">
            <w:pPr>
              <w:spacing w:before="120" w:line="276" w:lineRule="auto"/>
              <w:contextualSpacing/>
              <w:jc w:val="center"/>
              <w:rPr>
                <w:sz w:val="20"/>
                <w:szCs w:val="20"/>
              </w:rPr>
            </w:pPr>
            <w:r w:rsidRPr="004E0431">
              <w:rPr>
                <w:rFonts w:eastAsia="Arial"/>
                <w:sz w:val="20"/>
                <w:szCs w:val="20"/>
              </w:rPr>
              <w:t>26.0</w:t>
            </w:r>
          </w:p>
        </w:tc>
        <w:tc>
          <w:tcPr>
            <w:tcW w:w="1462" w:type="dxa"/>
          </w:tcPr>
          <w:p w14:paraId="5BDF991E" w14:textId="77777777" w:rsidR="00737D04" w:rsidRPr="004E0431" w:rsidRDefault="00737D04" w:rsidP="00BC2511">
            <w:pPr>
              <w:spacing w:before="120" w:line="276" w:lineRule="auto"/>
              <w:contextualSpacing/>
              <w:jc w:val="center"/>
              <w:rPr>
                <w:sz w:val="20"/>
                <w:szCs w:val="20"/>
              </w:rPr>
            </w:pPr>
            <w:r w:rsidRPr="004E0431">
              <w:rPr>
                <w:rFonts w:eastAsia="Arial"/>
                <w:sz w:val="20"/>
                <w:szCs w:val="20"/>
              </w:rPr>
              <w:t>26.0</w:t>
            </w:r>
          </w:p>
        </w:tc>
        <w:tc>
          <w:tcPr>
            <w:tcW w:w="1666" w:type="dxa"/>
          </w:tcPr>
          <w:p w14:paraId="2C020531" w14:textId="77777777" w:rsidR="00737D04" w:rsidRPr="004E0431" w:rsidRDefault="00737D04" w:rsidP="00BC2511">
            <w:pPr>
              <w:spacing w:before="120" w:line="276" w:lineRule="auto"/>
              <w:contextualSpacing/>
              <w:jc w:val="center"/>
              <w:rPr>
                <w:sz w:val="20"/>
                <w:szCs w:val="20"/>
              </w:rPr>
            </w:pPr>
            <w:r w:rsidRPr="004E0431">
              <w:rPr>
                <w:rFonts w:eastAsia="Arial"/>
                <w:sz w:val="20"/>
                <w:szCs w:val="20"/>
              </w:rPr>
              <w:t>100.0</w:t>
            </w:r>
          </w:p>
        </w:tc>
      </w:tr>
      <w:tr w:rsidR="004E0431" w:rsidRPr="004E0431" w14:paraId="0F22B703" w14:textId="77777777" w:rsidTr="00AD3460">
        <w:trPr>
          <w:jc w:val="center"/>
        </w:trPr>
        <w:tc>
          <w:tcPr>
            <w:tcW w:w="833" w:type="dxa"/>
            <w:vMerge/>
          </w:tcPr>
          <w:p w14:paraId="34F7370C" w14:textId="77777777" w:rsidR="00737D04" w:rsidRPr="004E0431" w:rsidRDefault="00737D04" w:rsidP="00475FA2">
            <w:pPr>
              <w:spacing w:before="120" w:line="276" w:lineRule="auto"/>
              <w:contextualSpacing/>
              <w:rPr>
                <w:sz w:val="20"/>
                <w:szCs w:val="20"/>
              </w:rPr>
            </w:pPr>
          </w:p>
        </w:tc>
        <w:tc>
          <w:tcPr>
            <w:tcW w:w="1581" w:type="dxa"/>
          </w:tcPr>
          <w:p w14:paraId="0B0797C3" w14:textId="77777777" w:rsidR="00737D04" w:rsidRPr="004E0431" w:rsidRDefault="00737D04" w:rsidP="00475FA2">
            <w:pPr>
              <w:spacing w:before="120" w:line="276" w:lineRule="auto"/>
              <w:contextualSpacing/>
              <w:rPr>
                <w:sz w:val="20"/>
                <w:szCs w:val="20"/>
              </w:rPr>
            </w:pPr>
            <w:r w:rsidRPr="004E0431">
              <w:rPr>
                <w:rFonts w:eastAsia="Arial"/>
                <w:sz w:val="20"/>
                <w:szCs w:val="20"/>
              </w:rPr>
              <w:t>Total</w:t>
            </w:r>
          </w:p>
        </w:tc>
        <w:tc>
          <w:tcPr>
            <w:tcW w:w="1207" w:type="dxa"/>
          </w:tcPr>
          <w:p w14:paraId="3D55C37F" w14:textId="77777777" w:rsidR="00737D04" w:rsidRPr="004E0431" w:rsidRDefault="00737D04" w:rsidP="00BC2511">
            <w:pPr>
              <w:spacing w:before="120" w:line="276" w:lineRule="auto"/>
              <w:contextualSpacing/>
              <w:jc w:val="center"/>
              <w:rPr>
                <w:sz w:val="20"/>
                <w:szCs w:val="20"/>
              </w:rPr>
            </w:pPr>
            <w:r w:rsidRPr="004E0431">
              <w:rPr>
                <w:rFonts w:eastAsia="Arial"/>
                <w:sz w:val="20"/>
                <w:szCs w:val="20"/>
              </w:rPr>
              <w:t>200</w:t>
            </w:r>
          </w:p>
        </w:tc>
        <w:tc>
          <w:tcPr>
            <w:tcW w:w="1156" w:type="dxa"/>
          </w:tcPr>
          <w:p w14:paraId="1E39A6B2" w14:textId="77777777" w:rsidR="00737D04" w:rsidRPr="004E0431" w:rsidRDefault="00737D04" w:rsidP="00BC2511">
            <w:pPr>
              <w:spacing w:before="120" w:line="276" w:lineRule="auto"/>
              <w:contextualSpacing/>
              <w:jc w:val="center"/>
              <w:rPr>
                <w:sz w:val="20"/>
                <w:szCs w:val="20"/>
              </w:rPr>
            </w:pPr>
            <w:r w:rsidRPr="004E0431">
              <w:rPr>
                <w:rFonts w:eastAsia="Arial"/>
                <w:sz w:val="20"/>
                <w:szCs w:val="20"/>
              </w:rPr>
              <w:t>100.0</w:t>
            </w:r>
          </w:p>
        </w:tc>
        <w:tc>
          <w:tcPr>
            <w:tcW w:w="1462" w:type="dxa"/>
          </w:tcPr>
          <w:p w14:paraId="24BCC00D" w14:textId="77777777" w:rsidR="00737D04" w:rsidRPr="004E0431" w:rsidRDefault="00737D04" w:rsidP="00BC2511">
            <w:pPr>
              <w:spacing w:before="120" w:line="276" w:lineRule="auto"/>
              <w:contextualSpacing/>
              <w:jc w:val="center"/>
              <w:rPr>
                <w:sz w:val="20"/>
                <w:szCs w:val="20"/>
              </w:rPr>
            </w:pPr>
            <w:r w:rsidRPr="004E0431">
              <w:rPr>
                <w:rFonts w:eastAsia="Arial"/>
                <w:sz w:val="20"/>
                <w:szCs w:val="20"/>
              </w:rPr>
              <w:t>100.0</w:t>
            </w:r>
          </w:p>
        </w:tc>
        <w:tc>
          <w:tcPr>
            <w:tcW w:w="1666" w:type="dxa"/>
          </w:tcPr>
          <w:p w14:paraId="78206DD7" w14:textId="77777777" w:rsidR="00737D04" w:rsidRPr="004E0431" w:rsidRDefault="00737D04" w:rsidP="00BC2511">
            <w:pPr>
              <w:spacing w:before="120" w:line="276" w:lineRule="auto"/>
              <w:contextualSpacing/>
              <w:jc w:val="center"/>
              <w:rPr>
                <w:sz w:val="20"/>
                <w:szCs w:val="20"/>
              </w:rPr>
            </w:pPr>
          </w:p>
        </w:tc>
      </w:tr>
    </w:tbl>
    <w:p w14:paraId="68D49BBA" w14:textId="7537003D" w:rsidR="0072674F" w:rsidRPr="0001291E" w:rsidRDefault="0072674F" w:rsidP="00475FA2">
      <w:pPr>
        <w:spacing w:before="120" w:line="276" w:lineRule="auto"/>
        <w:rPr>
          <w:sz w:val="20"/>
          <w:szCs w:val="20"/>
        </w:rPr>
      </w:pPr>
      <w:r w:rsidRPr="0001291E">
        <w:rPr>
          <w:sz w:val="20"/>
          <w:szCs w:val="20"/>
        </w:rPr>
        <w:t xml:space="preserve">                          </w:t>
      </w:r>
      <w:r w:rsidRPr="0001291E">
        <w:rPr>
          <w:noProof/>
          <w:sz w:val="20"/>
          <w:szCs w:val="20"/>
          <w:lang w:val="en-IN" w:eastAsia="en-IN"/>
        </w:rPr>
        <w:drawing>
          <wp:inline distT="0" distB="0" distL="0" distR="0" wp14:anchorId="79DC2F59" wp14:editId="7E1E1F8D">
            <wp:extent cx="4286885" cy="2255520"/>
            <wp:effectExtent l="0" t="0" r="18415" b="11430"/>
            <wp:docPr id="138058069" name="Chart 1">
              <a:extLst xmlns:a="http://schemas.openxmlformats.org/drawingml/2006/main">
                <a:ext uri="{FF2B5EF4-FFF2-40B4-BE49-F238E27FC236}">
                  <a16:creationId xmlns:a16="http://schemas.microsoft.com/office/drawing/2014/main" id="{806A63EC-FAF3-0B88-1227-B869B30CBA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DE4174E" w14:textId="77777777" w:rsidR="00493138" w:rsidRDefault="00493138" w:rsidP="00475FA2">
      <w:pPr>
        <w:spacing w:before="120" w:line="276" w:lineRule="auto"/>
        <w:rPr>
          <w:b/>
          <w:bCs/>
          <w:sz w:val="20"/>
          <w:szCs w:val="20"/>
        </w:rPr>
        <w:sectPr w:rsidR="00493138" w:rsidSect="00493138">
          <w:type w:val="continuous"/>
          <w:pgSz w:w="12240" w:h="15840" w:code="1"/>
          <w:pgMar w:top="1440" w:right="1440" w:bottom="1440" w:left="1440" w:header="706" w:footer="706" w:gutter="0"/>
          <w:cols w:space="720"/>
          <w:docGrid w:linePitch="299"/>
        </w:sectPr>
      </w:pPr>
    </w:p>
    <w:p w14:paraId="4FA56269" w14:textId="77777777" w:rsidR="0072674F" w:rsidRPr="0001291E" w:rsidRDefault="0072674F" w:rsidP="00475FA2">
      <w:pPr>
        <w:spacing w:before="120" w:line="276" w:lineRule="auto"/>
        <w:rPr>
          <w:b/>
          <w:bCs/>
          <w:sz w:val="20"/>
          <w:szCs w:val="20"/>
        </w:rPr>
      </w:pPr>
      <w:r w:rsidRPr="0001291E">
        <w:rPr>
          <w:b/>
          <w:bCs/>
          <w:sz w:val="20"/>
          <w:szCs w:val="20"/>
        </w:rPr>
        <w:t>Interpretation:</w:t>
      </w:r>
    </w:p>
    <w:p w14:paraId="16BD3349" w14:textId="77777777" w:rsidR="0072674F" w:rsidRPr="0001291E" w:rsidRDefault="0072674F" w:rsidP="00475FA2">
      <w:pPr>
        <w:spacing w:before="120" w:line="276" w:lineRule="auto"/>
        <w:jc w:val="both"/>
        <w:rPr>
          <w:sz w:val="20"/>
          <w:szCs w:val="20"/>
        </w:rPr>
      </w:pPr>
      <w:r w:rsidRPr="0001291E">
        <w:rPr>
          <w:sz w:val="20"/>
          <w:szCs w:val="20"/>
        </w:rPr>
        <w:t xml:space="preserve">The table below shows which ESG aspect is most important to respondents when considering investments. It is clear that 45% of respondents prioritize the environmental aspect, indicating a strong preference for sustainability-related factors such as climate change, carbon footprint reduction, and renewable energy investments. A significant 29% consider the social aspect most important, suggesting </w:t>
      </w:r>
      <w:r w:rsidRPr="0001291E">
        <w:rPr>
          <w:sz w:val="20"/>
          <w:szCs w:val="20"/>
        </w:rPr>
        <w:t>that issues like workplace diversity, human rights, and corporate social responsibility influence their investment decisions. Meanwhile, 26% prioritize governance, reflecting a focus on corporate ethics, transparency, and executive accountability. Overall, the data suggests that while all ESG aspects are valued, environmental concerns take precedence for most investors, aligning with the growing global emphasis on sustainability and climate action.</w:t>
      </w:r>
    </w:p>
    <w:p w14:paraId="74826EEA" w14:textId="77777777" w:rsidR="00475FA2" w:rsidRDefault="00475FA2" w:rsidP="00475FA2">
      <w:pPr>
        <w:spacing w:before="120" w:line="276" w:lineRule="auto"/>
        <w:jc w:val="center"/>
        <w:rPr>
          <w:rFonts w:eastAsia="Arial"/>
          <w:b/>
          <w:color w:val="010205"/>
          <w:sz w:val="20"/>
          <w:szCs w:val="20"/>
        </w:rPr>
        <w:sectPr w:rsidR="00475FA2" w:rsidSect="00493138">
          <w:type w:val="continuous"/>
          <w:pgSz w:w="12240" w:h="15840" w:code="1"/>
          <w:pgMar w:top="1440" w:right="1440" w:bottom="1440" w:left="1440" w:header="706" w:footer="706" w:gutter="0"/>
          <w:cols w:num="2" w:space="720"/>
          <w:docGrid w:linePitch="299"/>
        </w:sectPr>
      </w:pPr>
    </w:p>
    <w:p w14:paraId="0D780C67" w14:textId="77777777" w:rsidR="0072674F" w:rsidRPr="0001291E" w:rsidRDefault="0072674F" w:rsidP="00475FA2">
      <w:pPr>
        <w:spacing w:before="120" w:line="276" w:lineRule="auto"/>
        <w:jc w:val="center"/>
        <w:rPr>
          <w:rFonts w:eastAsia="Arial"/>
          <w:b/>
          <w:color w:val="010205"/>
          <w:sz w:val="20"/>
          <w:szCs w:val="20"/>
        </w:rPr>
      </w:pPr>
      <w:r w:rsidRPr="0001291E">
        <w:rPr>
          <w:rFonts w:eastAsia="Arial"/>
          <w:b/>
          <w:color w:val="010205"/>
          <w:sz w:val="20"/>
          <w:szCs w:val="20"/>
        </w:rPr>
        <w:t>Do you think ESG investing has a significant impact on the environment and society?</w:t>
      </w:r>
    </w:p>
    <w:tbl>
      <w:tblPr>
        <w:tblW w:w="0" w:type="auto"/>
        <w:tblInd w:w="559" w:type="dxa"/>
        <w:tblLayout w:type="fixed"/>
        <w:tblCellMar>
          <w:left w:w="10" w:type="dxa"/>
          <w:right w:w="10" w:type="dxa"/>
        </w:tblCellMar>
        <w:tblLook w:val="04A0" w:firstRow="1" w:lastRow="0" w:firstColumn="1" w:lastColumn="0" w:noHBand="0" w:noVBand="1"/>
      </w:tblPr>
      <w:tblGrid>
        <w:gridCol w:w="833"/>
        <w:gridCol w:w="1581"/>
        <w:gridCol w:w="1207"/>
        <w:gridCol w:w="1156"/>
        <w:gridCol w:w="1462"/>
        <w:gridCol w:w="1666"/>
      </w:tblGrid>
      <w:tr w:rsidR="004E0431" w:rsidRPr="004E0431" w14:paraId="7905F77F" w14:textId="77777777" w:rsidTr="00493138">
        <w:tc>
          <w:tcPr>
            <w:tcW w:w="241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73D652A" w14:textId="77777777" w:rsidR="0072674F" w:rsidRPr="004E0431" w:rsidRDefault="0072674F" w:rsidP="00475FA2">
            <w:pPr>
              <w:spacing w:before="120" w:line="276" w:lineRule="auto"/>
              <w:contextualSpacing/>
              <w:rPr>
                <w:sz w:val="20"/>
                <w:szCs w:val="20"/>
              </w:rPr>
            </w:pPr>
          </w:p>
        </w:tc>
        <w:tc>
          <w:tcPr>
            <w:tcW w:w="1207" w:type="dxa"/>
            <w:tcBorders>
              <w:top w:val="single" w:sz="4" w:space="0" w:color="auto"/>
              <w:left w:val="single" w:sz="4" w:space="0" w:color="auto"/>
              <w:bottom w:val="single" w:sz="4" w:space="0" w:color="auto"/>
              <w:right w:val="single" w:sz="4" w:space="0" w:color="auto"/>
            </w:tcBorders>
            <w:shd w:val="clear" w:color="auto" w:fill="auto"/>
            <w:vAlign w:val="bottom"/>
          </w:tcPr>
          <w:p w14:paraId="695ED904" w14:textId="77777777" w:rsidR="0072674F" w:rsidRPr="004E0431" w:rsidRDefault="0072674F" w:rsidP="00475FA2">
            <w:pPr>
              <w:spacing w:before="120" w:line="276" w:lineRule="auto"/>
              <w:contextualSpacing/>
              <w:jc w:val="center"/>
              <w:rPr>
                <w:sz w:val="20"/>
                <w:szCs w:val="20"/>
              </w:rPr>
            </w:pPr>
            <w:r w:rsidRPr="004E0431">
              <w:rPr>
                <w:rFonts w:eastAsia="Arial"/>
                <w:sz w:val="20"/>
                <w:szCs w:val="20"/>
              </w:rPr>
              <w:t>Frequency</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bottom"/>
          </w:tcPr>
          <w:p w14:paraId="76B869B5" w14:textId="77777777" w:rsidR="0072674F" w:rsidRPr="004E0431" w:rsidRDefault="0072674F" w:rsidP="00475FA2">
            <w:pPr>
              <w:spacing w:before="120" w:line="276" w:lineRule="auto"/>
              <w:contextualSpacing/>
              <w:jc w:val="center"/>
              <w:rPr>
                <w:sz w:val="20"/>
                <w:szCs w:val="20"/>
              </w:rPr>
            </w:pPr>
            <w:r w:rsidRPr="004E0431">
              <w:rPr>
                <w:rFonts w:eastAsia="Arial"/>
                <w:sz w:val="20"/>
                <w:szCs w:val="20"/>
              </w:rPr>
              <w:t>Percent</w:t>
            </w:r>
          </w:p>
        </w:tc>
        <w:tc>
          <w:tcPr>
            <w:tcW w:w="1462" w:type="dxa"/>
            <w:tcBorders>
              <w:top w:val="single" w:sz="4" w:space="0" w:color="auto"/>
              <w:left w:val="single" w:sz="4" w:space="0" w:color="auto"/>
              <w:bottom w:val="single" w:sz="4" w:space="0" w:color="auto"/>
              <w:right w:val="single" w:sz="4" w:space="0" w:color="auto"/>
            </w:tcBorders>
            <w:shd w:val="clear" w:color="auto" w:fill="auto"/>
            <w:vAlign w:val="bottom"/>
          </w:tcPr>
          <w:p w14:paraId="1BBC3D3E" w14:textId="77777777" w:rsidR="0072674F" w:rsidRPr="004E0431" w:rsidRDefault="0072674F" w:rsidP="00475FA2">
            <w:pPr>
              <w:spacing w:before="120" w:line="276" w:lineRule="auto"/>
              <w:contextualSpacing/>
              <w:jc w:val="center"/>
              <w:rPr>
                <w:sz w:val="20"/>
                <w:szCs w:val="20"/>
              </w:rPr>
            </w:pPr>
            <w:r w:rsidRPr="004E0431">
              <w:rPr>
                <w:rFonts w:eastAsia="Arial"/>
                <w:sz w:val="20"/>
                <w:szCs w:val="20"/>
              </w:rPr>
              <w:t>Valid Percent</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bottom"/>
          </w:tcPr>
          <w:p w14:paraId="1F862A00" w14:textId="77777777" w:rsidR="0072674F" w:rsidRPr="004E0431" w:rsidRDefault="0072674F" w:rsidP="00475FA2">
            <w:pPr>
              <w:spacing w:before="120" w:line="276" w:lineRule="auto"/>
              <w:contextualSpacing/>
              <w:jc w:val="center"/>
              <w:rPr>
                <w:sz w:val="20"/>
                <w:szCs w:val="20"/>
              </w:rPr>
            </w:pPr>
            <w:r w:rsidRPr="004E0431">
              <w:rPr>
                <w:rFonts w:eastAsia="Arial"/>
                <w:sz w:val="20"/>
                <w:szCs w:val="20"/>
              </w:rPr>
              <w:t>Cumulative Percent</w:t>
            </w:r>
          </w:p>
        </w:tc>
      </w:tr>
      <w:tr w:rsidR="004E0431" w:rsidRPr="004E0431" w14:paraId="22289DD1" w14:textId="77777777" w:rsidTr="00493138">
        <w:tc>
          <w:tcPr>
            <w:tcW w:w="833" w:type="dxa"/>
            <w:vMerge w:val="restart"/>
            <w:tcBorders>
              <w:top w:val="single" w:sz="4" w:space="0" w:color="auto"/>
              <w:left w:val="single" w:sz="4" w:space="0" w:color="auto"/>
              <w:bottom w:val="single" w:sz="4" w:space="0" w:color="auto"/>
              <w:right w:val="single" w:sz="4" w:space="0" w:color="auto"/>
            </w:tcBorders>
            <w:shd w:val="clear" w:color="auto" w:fill="auto"/>
          </w:tcPr>
          <w:p w14:paraId="74F4B77F" w14:textId="77777777" w:rsidR="0072674F" w:rsidRPr="004E0431" w:rsidRDefault="0072674F" w:rsidP="00475FA2">
            <w:pPr>
              <w:spacing w:before="120" w:line="276" w:lineRule="auto"/>
              <w:contextualSpacing/>
              <w:rPr>
                <w:sz w:val="20"/>
                <w:szCs w:val="20"/>
              </w:rPr>
            </w:pPr>
            <w:r w:rsidRPr="004E0431">
              <w:rPr>
                <w:rFonts w:eastAsia="Arial"/>
                <w:sz w:val="20"/>
                <w:szCs w:val="20"/>
              </w:rPr>
              <w:t>Valid</w:t>
            </w:r>
          </w:p>
        </w:tc>
        <w:tc>
          <w:tcPr>
            <w:tcW w:w="1581" w:type="dxa"/>
            <w:tcBorders>
              <w:top w:val="single" w:sz="4" w:space="0" w:color="auto"/>
              <w:left w:val="single" w:sz="4" w:space="0" w:color="auto"/>
              <w:bottom w:val="single" w:sz="4" w:space="0" w:color="auto"/>
              <w:right w:val="single" w:sz="4" w:space="0" w:color="auto"/>
            </w:tcBorders>
            <w:shd w:val="clear" w:color="auto" w:fill="auto"/>
          </w:tcPr>
          <w:p w14:paraId="6B3086C9" w14:textId="77777777" w:rsidR="0072674F" w:rsidRPr="004E0431" w:rsidRDefault="0072674F" w:rsidP="00475FA2">
            <w:pPr>
              <w:spacing w:before="120" w:line="276" w:lineRule="auto"/>
              <w:contextualSpacing/>
              <w:rPr>
                <w:sz w:val="20"/>
                <w:szCs w:val="20"/>
              </w:rPr>
            </w:pPr>
            <w:r w:rsidRPr="004E0431">
              <w:rPr>
                <w:rFonts w:eastAsia="Arial"/>
                <w:sz w:val="20"/>
                <w:szCs w:val="20"/>
              </w:rPr>
              <w:t>Strongly Agree</w:t>
            </w:r>
          </w:p>
        </w:tc>
        <w:tc>
          <w:tcPr>
            <w:tcW w:w="1207" w:type="dxa"/>
            <w:tcBorders>
              <w:top w:val="single" w:sz="4" w:space="0" w:color="auto"/>
              <w:left w:val="single" w:sz="4" w:space="0" w:color="auto"/>
              <w:bottom w:val="single" w:sz="4" w:space="0" w:color="auto"/>
              <w:right w:val="single" w:sz="4" w:space="0" w:color="auto"/>
            </w:tcBorders>
            <w:shd w:val="clear" w:color="auto" w:fill="auto"/>
          </w:tcPr>
          <w:p w14:paraId="3FAFAC67" w14:textId="77777777" w:rsidR="0072674F" w:rsidRPr="004E0431" w:rsidRDefault="0072674F" w:rsidP="00493138">
            <w:pPr>
              <w:spacing w:before="120" w:line="276" w:lineRule="auto"/>
              <w:contextualSpacing/>
              <w:jc w:val="center"/>
              <w:rPr>
                <w:sz w:val="20"/>
                <w:szCs w:val="20"/>
              </w:rPr>
            </w:pPr>
            <w:r w:rsidRPr="004E0431">
              <w:rPr>
                <w:rFonts w:eastAsia="Arial"/>
                <w:sz w:val="20"/>
                <w:szCs w:val="20"/>
              </w:rPr>
              <w:t>64</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5175CE19" w14:textId="77777777" w:rsidR="0072674F" w:rsidRPr="004E0431" w:rsidRDefault="0072674F" w:rsidP="00493138">
            <w:pPr>
              <w:spacing w:before="120" w:line="276" w:lineRule="auto"/>
              <w:contextualSpacing/>
              <w:jc w:val="center"/>
              <w:rPr>
                <w:sz w:val="20"/>
                <w:szCs w:val="20"/>
              </w:rPr>
            </w:pPr>
            <w:r w:rsidRPr="004E0431">
              <w:rPr>
                <w:rFonts w:eastAsia="Arial"/>
                <w:sz w:val="20"/>
                <w:szCs w:val="20"/>
              </w:rPr>
              <w:t>32.0</w:t>
            </w:r>
          </w:p>
        </w:tc>
        <w:tc>
          <w:tcPr>
            <w:tcW w:w="1462" w:type="dxa"/>
            <w:tcBorders>
              <w:top w:val="single" w:sz="4" w:space="0" w:color="auto"/>
              <w:left w:val="single" w:sz="4" w:space="0" w:color="auto"/>
              <w:bottom w:val="single" w:sz="4" w:space="0" w:color="auto"/>
              <w:right w:val="single" w:sz="4" w:space="0" w:color="auto"/>
            </w:tcBorders>
            <w:shd w:val="clear" w:color="auto" w:fill="auto"/>
          </w:tcPr>
          <w:p w14:paraId="2F707764" w14:textId="77777777" w:rsidR="0072674F" w:rsidRPr="004E0431" w:rsidRDefault="0072674F" w:rsidP="00493138">
            <w:pPr>
              <w:spacing w:before="120" w:line="276" w:lineRule="auto"/>
              <w:contextualSpacing/>
              <w:jc w:val="center"/>
              <w:rPr>
                <w:sz w:val="20"/>
                <w:szCs w:val="20"/>
              </w:rPr>
            </w:pPr>
            <w:r w:rsidRPr="004E0431">
              <w:rPr>
                <w:rFonts w:eastAsia="Arial"/>
                <w:sz w:val="20"/>
                <w:szCs w:val="20"/>
              </w:rPr>
              <w:t>32.0</w:t>
            </w:r>
          </w:p>
        </w:tc>
        <w:tc>
          <w:tcPr>
            <w:tcW w:w="1666" w:type="dxa"/>
            <w:tcBorders>
              <w:top w:val="single" w:sz="4" w:space="0" w:color="auto"/>
              <w:left w:val="single" w:sz="4" w:space="0" w:color="auto"/>
              <w:bottom w:val="single" w:sz="4" w:space="0" w:color="auto"/>
              <w:right w:val="single" w:sz="4" w:space="0" w:color="auto"/>
            </w:tcBorders>
            <w:shd w:val="clear" w:color="auto" w:fill="auto"/>
          </w:tcPr>
          <w:p w14:paraId="08A0F6CC" w14:textId="77777777" w:rsidR="0072674F" w:rsidRPr="004E0431" w:rsidRDefault="0072674F" w:rsidP="00493138">
            <w:pPr>
              <w:spacing w:before="120" w:line="276" w:lineRule="auto"/>
              <w:contextualSpacing/>
              <w:jc w:val="center"/>
              <w:rPr>
                <w:sz w:val="20"/>
                <w:szCs w:val="20"/>
              </w:rPr>
            </w:pPr>
            <w:r w:rsidRPr="004E0431">
              <w:rPr>
                <w:rFonts w:eastAsia="Arial"/>
                <w:sz w:val="20"/>
                <w:szCs w:val="20"/>
              </w:rPr>
              <w:t>32.0</w:t>
            </w:r>
          </w:p>
        </w:tc>
      </w:tr>
      <w:tr w:rsidR="004E0431" w:rsidRPr="004E0431" w14:paraId="72562FD5" w14:textId="77777777" w:rsidTr="00493138">
        <w:tc>
          <w:tcPr>
            <w:tcW w:w="833" w:type="dxa"/>
            <w:vMerge/>
            <w:tcBorders>
              <w:top w:val="single" w:sz="4" w:space="0" w:color="auto"/>
              <w:left w:val="single" w:sz="4" w:space="0" w:color="auto"/>
              <w:bottom w:val="single" w:sz="4" w:space="0" w:color="auto"/>
              <w:right w:val="single" w:sz="4" w:space="0" w:color="auto"/>
            </w:tcBorders>
            <w:shd w:val="clear" w:color="auto" w:fill="auto"/>
          </w:tcPr>
          <w:p w14:paraId="0B3B2D20" w14:textId="77777777" w:rsidR="0072674F" w:rsidRPr="004E0431" w:rsidRDefault="0072674F" w:rsidP="00475FA2">
            <w:pPr>
              <w:spacing w:before="120" w:line="276" w:lineRule="auto"/>
              <w:contextualSpacing/>
              <w:rPr>
                <w:sz w:val="20"/>
                <w:szCs w:val="20"/>
              </w:rPr>
            </w:pPr>
          </w:p>
        </w:tc>
        <w:tc>
          <w:tcPr>
            <w:tcW w:w="1581" w:type="dxa"/>
            <w:tcBorders>
              <w:top w:val="single" w:sz="4" w:space="0" w:color="auto"/>
              <w:left w:val="single" w:sz="4" w:space="0" w:color="auto"/>
              <w:bottom w:val="single" w:sz="4" w:space="0" w:color="auto"/>
              <w:right w:val="single" w:sz="4" w:space="0" w:color="auto"/>
            </w:tcBorders>
            <w:shd w:val="clear" w:color="auto" w:fill="auto"/>
          </w:tcPr>
          <w:p w14:paraId="783EE210" w14:textId="77777777" w:rsidR="0072674F" w:rsidRPr="004E0431" w:rsidRDefault="0072674F" w:rsidP="00475FA2">
            <w:pPr>
              <w:spacing w:before="120" w:line="276" w:lineRule="auto"/>
              <w:contextualSpacing/>
              <w:rPr>
                <w:sz w:val="20"/>
                <w:szCs w:val="20"/>
              </w:rPr>
            </w:pPr>
            <w:r w:rsidRPr="004E0431">
              <w:rPr>
                <w:rFonts w:eastAsia="Arial"/>
                <w:sz w:val="20"/>
                <w:szCs w:val="20"/>
              </w:rPr>
              <w:t>Agree</w:t>
            </w:r>
          </w:p>
        </w:tc>
        <w:tc>
          <w:tcPr>
            <w:tcW w:w="1207" w:type="dxa"/>
            <w:tcBorders>
              <w:top w:val="single" w:sz="4" w:space="0" w:color="auto"/>
              <w:left w:val="single" w:sz="4" w:space="0" w:color="auto"/>
              <w:bottom w:val="single" w:sz="4" w:space="0" w:color="auto"/>
              <w:right w:val="single" w:sz="4" w:space="0" w:color="auto"/>
            </w:tcBorders>
            <w:shd w:val="clear" w:color="auto" w:fill="auto"/>
          </w:tcPr>
          <w:p w14:paraId="1F737DEB" w14:textId="77777777" w:rsidR="0072674F" w:rsidRPr="004E0431" w:rsidRDefault="0072674F" w:rsidP="00493138">
            <w:pPr>
              <w:spacing w:before="120" w:line="276" w:lineRule="auto"/>
              <w:contextualSpacing/>
              <w:jc w:val="center"/>
              <w:rPr>
                <w:sz w:val="20"/>
                <w:szCs w:val="20"/>
              </w:rPr>
            </w:pPr>
            <w:r w:rsidRPr="004E0431">
              <w:rPr>
                <w:rFonts w:eastAsia="Arial"/>
                <w:sz w:val="20"/>
                <w:szCs w:val="20"/>
              </w:rPr>
              <w:t>84</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2CB26ED3" w14:textId="77777777" w:rsidR="0072674F" w:rsidRPr="004E0431" w:rsidRDefault="0072674F" w:rsidP="00493138">
            <w:pPr>
              <w:spacing w:before="120" w:line="276" w:lineRule="auto"/>
              <w:contextualSpacing/>
              <w:jc w:val="center"/>
              <w:rPr>
                <w:sz w:val="20"/>
                <w:szCs w:val="20"/>
              </w:rPr>
            </w:pPr>
            <w:r w:rsidRPr="004E0431">
              <w:rPr>
                <w:rFonts w:eastAsia="Arial"/>
                <w:sz w:val="20"/>
                <w:szCs w:val="20"/>
              </w:rPr>
              <w:t>42.0</w:t>
            </w:r>
          </w:p>
        </w:tc>
        <w:tc>
          <w:tcPr>
            <w:tcW w:w="1462" w:type="dxa"/>
            <w:tcBorders>
              <w:top w:val="single" w:sz="4" w:space="0" w:color="auto"/>
              <w:left w:val="single" w:sz="4" w:space="0" w:color="auto"/>
              <w:bottom w:val="single" w:sz="4" w:space="0" w:color="auto"/>
              <w:right w:val="single" w:sz="4" w:space="0" w:color="auto"/>
            </w:tcBorders>
            <w:shd w:val="clear" w:color="auto" w:fill="auto"/>
          </w:tcPr>
          <w:p w14:paraId="54524EF2" w14:textId="77777777" w:rsidR="0072674F" w:rsidRPr="004E0431" w:rsidRDefault="0072674F" w:rsidP="00493138">
            <w:pPr>
              <w:spacing w:before="120" w:line="276" w:lineRule="auto"/>
              <w:contextualSpacing/>
              <w:jc w:val="center"/>
              <w:rPr>
                <w:sz w:val="20"/>
                <w:szCs w:val="20"/>
              </w:rPr>
            </w:pPr>
            <w:r w:rsidRPr="004E0431">
              <w:rPr>
                <w:rFonts w:eastAsia="Arial"/>
                <w:sz w:val="20"/>
                <w:szCs w:val="20"/>
              </w:rPr>
              <w:t>42.0</w:t>
            </w:r>
          </w:p>
        </w:tc>
        <w:tc>
          <w:tcPr>
            <w:tcW w:w="1666" w:type="dxa"/>
            <w:tcBorders>
              <w:top w:val="single" w:sz="4" w:space="0" w:color="auto"/>
              <w:left w:val="single" w:sz="4" w:space="0" w:color="auto"/>
              <w:bottom w:val="single" w:sz="4" w:space="0" w:color="auto"/>
              <w:right w:val="single" w:sz="4" w:space="0" w:color="auto"/>
            </w:tcBorders>
            <w:shd w:val="clear" w:color="auto" w:fill="auto"/>
          </w:tcPr>
          <w:p w14:paraId="74AB7FE3" w14:textId="77777777" w:rsidR="0072674F" w:rsidRPr="004E0431" w:rsidRDefault="0072674F" w:rsidP="00493138">
            <w:pPr>
              <w:spacing w:before="120" w:line="276" w:lineRule="auto"/>
              <w:contextualSpacing/>
              <w:jc w:val="center"/>
              <w:rPr>
                <w:sz w:val="20"/>
                <w:szCs w:val="20"/>
              </w:rPr>
            </w:pPr>
            <w:r w:rsidRPr="004E0431">
              <w:rPr>
                <w:rFonts w:eastAsia="Arial"/>
                <w:sz w:val="20"/>
                <w:szCs w:val="20"/>
              </w:rPr>
              <w:t>74.0</w:t>
            </w:r>
          </w:p>
        </w:tc>
      </w:tr>
      <w:tr w:rsidR="004E0431" w:rsidRPr="004E0431" w14:paraId="2AFFC21C" w14:textId="77777777" w:rsidTr="00493138">
        <w:tc>
          <w:tcPr>
            <w:tcW w:w="833" w:type="dxa"/>
            <w:vMerge/>
            <w:tcBorders>
              <w:top w:val="single" w:sz="4" w:space="0" w:color="auto"/>
              <w:left w:val="single" w:sz="4" w:space="0" w:color="auto"/>
              <w:bottom w:val="single" w:sz="4" w:space="0" w:color="auto"/>
              <w:right w:val="single" w:sz="4" w:space="0" w:color="auto"/>
            </w:tcBorders>
            <w:shd w:val="clear" w:color="auto" w:fill="auto"/>
          </w:tcPr>
          <w:p w14:paraId="6F75EEB2" w14:textId="77777777" w:rsidR="0072674F" w:rsidRPr="004E0431" w:rsidRDefault="0072674F" w:rsidP="00475FA2">
            <w:pPr>
              <w:spacing w:before="120" w:line="276" w:lineRule="auto"/>
              <w:contextualSpacing/>
              <w:rPr>
                <w:sz w:val="20"/>
                <w:szCs w:val="20"/>
              </w:rPr>
            </w:pPr>
          </w:p>
        </w:tc>
        <w:tc>
          <w:tcPr>
            <w:tcW w:w="1581" w:type="dxa"/>
            <w:tcBorders>
              <w:top w:val="single" w:sz="4" w:space="0" w:color="auto"/>
              <w:left w:val="single" w:sz="4" w:space="0" w:color="auto"/>
              <w:bottom w:val="single" w:sz="4" w:space="0" w:color="auto"/>
              <w:right w:val="single" w:sz="4" w:space="0" w:color="auto"/>
            </w:tcBorders>
            <w:shd w:val="clear" w:color="auto" w:fill="auto"/>
          </w:tcPr>
          <w:p w14:paraId="1A53074C" w14:textId="77777777" w:rsidR="0072674F" w:rsidRPr="004E0431" w:rsidRDefault="0072674F" w:rsidP="00475FA2">
            <w:pPr>
              <w:spacing w:before="120" w:line="276" w:lineRule="auto"/>
              <w:contextualSpacing/>
              <w:rPr>
                <w:sz w:val="20"/>
                <w:szCs w:val="20"/>
              </w:rPr>
            </w:pPr>
            <w:r w:rsidRPr="004E0431">
              <w:rPr>
                <w:rFonts w:eastAsia="Arial"/>
                <w:sz w:val="20"/>
                <w:szCs w:val="20"/>
              </w:rPr>
              <w:t>Neutral</w:t>
            </w:r>
          </w:p>
        </w:tc>
        <w:tc>
          <w:tcPr>
            <w:tcW w:w="1207" w:type="dxa"/>
            <w:tcBorders>
              <w:top w:val="single" w:sz="4" w:space="0" w:color="auto"/>
              <w:left w:val="single" w:sz="4" w:space="0" w:color="auto"/>
              <w:bottom w:val="single" w:sz="4" w:space="0" w:color="auto"/>
              <w:right w:val="single" w:sz="4" w:space="0" w:color="auto"/>
            </w:tcBorders>
            <w:shd w:val="clear" w:color="auto" w:fill="auto"/>
          </w:tcPr>
          <w:p w14:paraId="7E4B9FFC" w14:textId="77777777" w:rsidR="0072674F" w:rsidRPr="004E0431" w:rsidRDefault="0072674F" w:rsidP="00493138">
            <w:pPr>
              <w:spacing w:before="120" w:line="276" w:lineRule="auto"/>
              <w:contextualSpacing/>
              <w:jc w:val="center"/>
              <w:rPr>
                <w:sz w:val="20"/>
                <w:szCs w:val="20"/>
              </w:rPr>
            </w:pPr>
            <w:r w:rsidRPr="004E0431">
              <w:rPr>
                <w:rFonts w:eastAsia="Arial"/>
                <w:sz w:val="20"/>
                <w:szCs w:val="20"/>
              </w:rPr>
              <w:t>52</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36457B49" w14:textId="77777777" w:rsidR="0072674F" w:rsidRPr="004E0431" w:rsidRDefault="0072674F" w:rsidP="00493138">
            <w:pPr>
              <w:spacing w:before="120" w:line="276" w:lineRule="auto"/>
              <w:contextualSpacing/>
              <w:jc w:val="center"/>
              <w:rPr>
                <w:sz w:val="20"/>
                <w:szCs w:val="20"/>
              </w:rPr>
            </w:pPr>
            <w:r w:rsidRPr="004E0431">
              <w:rPr>
                <w:rFonts w:eastAsia="Arial"/>
                <w:sz w:val="20"/>
                <w:szCs w:val="20"/>
              </w:rPr>
              <w:t>26.0</w:t>
            </w:r>
          </w:p>
        </w:tc>
        <w:tc>
          <w:tcPr>
            <w:tcW w:w="1462" w:type="dxa"/>
            <w:tcBorders>
              <w:top w:val="single" w:sz="4" w:space="0" w:color="auto"/>
              <w:left w:val="single" w:sz="4" w:space="0" w:color="auto"/>
              <w:bottom w:val="single" w:sz="4" w:space="0" w:color="auto"/>
              <w:right w:val="single" w:sz="4" w:space="0" w:color="auto"/>
            </w:tcBorders>
            <w:shd w:val="clear" w:color="auto" w:fill="auto"/>
          </w:tcPr>
          <w:p w14:paraId="2297795C" w14:textId="77777777" w:rsidR="0072674F" w:rsidRPr="004E0431" w:rsidRDefault="0072674F" w:rsidP="00493138">
            <w:pPr>
              <w:spacing w:before="120" w:line="276" w:lineRule="auto"/>
              <w:contextualSpacing/>
              <w:jc w:val="center"/>
              <w:rPr>
                <w:sz w:val="20"/>
                <w:szCs w:val="20"/>
              </w:rPr>
            </w:pPr>
            <w:r w:rsidRPr="004E0431">
              <w:rPr>
                <w:rFonts w:eastAsia="Arial"/>
                <w:sz w:val="20"/>
                <w:szCs w:val="20"/>
              </w:rPr>
              <w:t>26.0</w:t>
            </w:r>
          </w:p>
        </w:tc>
        <w:tc>
          <w:tcPr>
            <w:tcW w:w="1666" w:type="dxa"/>
            <w:tcBorders>
              <w:top w:val="single" w:sz="4" w:space="0" w:color="auto"/>
              <w:left w:val="single" w:sz="4" w:space="0" w:color="auto"/>
              <w:bottom w:val="single" w:sz="4" w:space="0" w:color="auto"/>
              <w:right w:val="single" w:sz="4" w:space="0" w:color="auto"/>
            </w:tcBorders>
            <w:shd w:val="clear" w:color="auto" w:fill="auto"/>
          </w:tcPr>
          <w:p w14:paraId="28179018" w14:textId="77777777" w:rsidR="0072674F" w:rsidRPr="004E0431" w:rsidRDefault="0072674F" w:rsidP="00493138">
            <w:pPr>
              <w:spacing w:before="120" w:line="276" w:lineRule="auto"/>
              <w:contextualSpacing/>
              <w:jc w:val="center"/>
              <w:rPr>
                <w:sz w:val="20"/>
                <w:szCs w:val="20"/>
              </w:rPr>
            </w:pPr>
            <w:r w:rsidRPr="004E0431">
              <w:rPr>
                <w:rFonts w:eastAsia="Arial"/>
                <w:sz w:val="20"/>
                <w:szCs w:val="20"/>
              </w:rPr>
              <w:t>100.0</w:t>
            </w:r>
          </w:p>
        </w:tc>
      </w:tr>
      <w:tr w:rsidR="004E0431" w:rsidRPr="004E0431" w14:paraId="2860805C" w14:textId="77777777" w:rsidTr="00493138">
        <w:tc>
          <w:tcPr>
            <w:tcW w:w="833" w:type="dxa"/>
            <w:vMerge/>
            <w:tcBorders>
              <w:top w:val="single" w:sz="4" w:space="0" w:color="auto"/>
              <w:left w:val="single" w:sz="4" w:space="0" w:color="auto"/>
              <w:bottom w:val="single" w:sz="4" w:space="0" w:color="auto"/>
              <w:right w:val="single" w:sz="4" w:space="0" w:color="auto"/>
            </w:tcBorders>
            <w:shd w:val="clear" w:color="auto" w:fill="auto"/>
          </w:tcPr>
          <w:p w14:paraId="30C67A66" w14:textId="77777777" w:rsidR="0072674F" w:rsidRPr="004E0431" w:rsidRDefault="0072674F" w:rsidP="00475FA2">
            <w:pPr>
              <w:spacing w:before="120" w:line="276" w:lineRule="auto"/>
              <w:contextualSpacing/>
              <w:rPr>
                <w:sz w:val="20"/>
                <w:szCs w:val="20"/>
              </w:rPr>
            </w:pPr>
          </w:p>
        </w:tc>
        <w:tc>
          <w:tcPr>
            <w:tcW w:w="1581" w:type="dxa"/>
            <w:tcBorders>
              <w:top w:val="single" w:sz="4" w:space="0" w:color="auto"/>
              <w:left w:val="single" w:sz="4" w:space="0" w:color="auto"/>
              <w:bottom w:val="single" w:sz="4" w:space="0" w:color="auto"/>
              <w:right w:val="single" w:sz="4" w:space="0" w:color="auto"/>
            </w:tcBorders>
            <w:shd w:val="clear" w:color="auto" w:fill="auto"/>
          </w:tcPr>
          <w:p w14:paraId="495266CF" w14:textId="77777777" w:rsidR="0072674F" w:rsidRPr="004E0431" w:rsidRDefault="0072674F" w:rsidP="00475FA2">
            <w:pPr>
              <w:spacing w:before="120" w:line="276" w:lineRule="auto"/>
              <w:contextualSpacing/>
              <w:rPr>
                <w:sz w:val="20"/>
                <w:szCs w:val="20"/>
              </w:rPr>
            </w:pPr>
            <w:r w:rsidRPr="004E0431">
              <w:rPr>
                <w:rFonts w:eastAsia="Arial"/>
                <w:sz w:val="20"/>
                <w:szCs w:val="20"/>
              </w:rPr>
              <w:t>Total</w:t>
            </w:r>
          </w:p>
        </w:tc>
        <w:tc>
          <w:tcPr>
            <w:tcW w:w="1207" w:type="dxa"/>
            <w:tcBorders>
              <w:top w:val="single" w:sz="4" w:space="0" w:color="auto"/>
              <w:left w:val="single" w:sz="4" w:space="0" w:color="auto"/>
              <w:bottom w:val="single" w:sz="4" w:space="0" w:color="auto"/>
              <w:right w:val="single" w:sz="4" w:space="0" w:color="auto"/>
            </w:tcBorders>
            <w:shd w:val="clear" w:color="auto" w:fill="auto"/>
          </w:tcPr>
          <w:p w14:paraId="793EDF2C" w14:textId="77777777" w:rsidR="0072674F" w:rsidRPr="004E0431" w:rsidRDefault="0072674F" w:rsidP="00493138">
            <w:pPr>
              <w:spacing w:before="120" w:line="276" w:lineRule="auto"/>
              <w:contextualSpacing/>
              <w:jc w:val="center"/>
              <w:rPr>
                <w:sz w:val="20"/>
                <w:szCs w:val="20"/>
              </w:rPr>
            </w:pPr>
            <w:r w:rsidRPr="004E0431">
              <w:rPr>
                <w:rFonts w:eastAsia="Arial"/>
                <w:sz w:val="20"/>
                <w:szCs w:val="20"/>
              </w:rPr>
              <w:t>200</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7C04A23A" w14:textId="77777777" w:rsidR="0072674F" w:rsidRPr="004E0431" w:rsidRDefault="0072674F" w:rsidP="00493138">
            <w:pPr>
              <w:spacing w:before="120" w:line="276" w:lineRule="auto"/>
              <w:contextualSpacing/>
              <w:jc w:val="center"/>
              <w:rPr>
                <w:sz w:val="20"/>
                <w:szCs w:val="20"/>
              </w:rPr>
            </w:pPr>
            <w:r w:rsidRPr="004E0431">
              <w:rPr>
                <w:rFonts w:eastAsia="Arial"/>
                <w:sz w:val="20"/>
                <w:szCs w:val="20"/>
              </w:rPr>
              <w:t>100.0</w:t>
            </w:r>
          </w:p>
        </w:tc>
        <w:tc>
          <w:tcPr>
            <w:tcW w:w="1462" w:type="dxa"/>
            <w:tcBorders>
              <w:top w:val="single" w:sz="4" w:space="0" w:color="auto"/>
              <w:left w:val="single" w:sz="4" w:space="0" w:color="auto"/>
              <w:bottom w:val="single" w:sz="4" w:space="0" w:color="auto"/>
              <w:right w:val="single" w:sz="4" w:space="0" w:color="auto"/>
            </w:tcBorders>
            <w:shd w:val="clear" w:color="auto" w:fill="auto"/>
          </w:tcPr>
          <w:p w14:paraId="58D08607" w14:textId="77777777" w:rsidR="0072674F" w:rsidRPr="004E0431" w:rsidRDefault="0072674F" w:rsidP="00493138">
            <w:pPr>
              <w:spacing w:before="120" w:line="276" w:lineRule="auto"/>
              <w:contextualSpacing/>
              <w:jc w:val="center"/>
              <w:rPr>
                <w:sz w:val="20"/>
                <w:szCs w:val="20"/>
              </w:rPr>
            </w:pPr>
            <w:r w:rsidRPr="004E0431">
              <w:rPr>
                <w:rFonts w:eastAsia="Arial"/>
                <w:sz w:val="20"/>
                <w:szCs w:val="20"/>
              </w:rPr>
              <w:t>100.0</w:t>
            </w:r>
          </w:p>
        </w:tc>
        <w:tc>
          <w:tcPr>
            <w:tcW w:w="1666" w:type="dxa"/>
            <w:tcBorders>
              <w:top w:val="single" w:sz="4" w:space="0" w:color="auto"/>
              <w:left w:val="single" w:sz="4" w:space="0" w:color="auto"/>
              <w:bottom w:val="single" w:sz="4" w:space="0" w:color="auto"/>
              <w:right w:val="single" w:sz="4" w:space="0" w:color="auto"/>
            </w:tcBorders>
            <w:shd w:val="clear" w:color="auto" w:fill="auto"/>
          </w:tcPr>
          <w:p w14:paraId="52B2973A" w14:textId="77777777" w:rsidR="0072674F" w:rsidRPr="004E0431" w:rsidRDefault="0072674F" w:rsidP="00493138">
            <w:pPr>
              <w:spacing w:before="120" w:line="276" w:lineRule="auto"/>
              <w:contextualSpacing/>
              <w:jc w:val="center"/>
              <w:rPr>
                <w:sz w:val="20"/>
                <w:szCs w:val="20"/>
              </w:rPr>
            </w:pPr>
          </w:p>
        </w:tc>
      </w:tr>
    </w:tbl>
    <w:p w14:paraId="19291FAB" w14:textId="77777777" w:rsidR="0072674F" w:rsidRPr="0001291E" w:rsidRDefault="0072674F" w:rsidP="00475FA2">
      <w:pPr>
        <w:spacing w:before="120" w:line="276" w:lineRule="auto"/>
        <w:rPr>
          <w:sz w:val="20"/>
          <w:szCs w:val="20"/>
        </w:rPr>
      </w:pPr>
    </w:p>
    <w:p w14:paraId="1B22C685" w14:textId="525ECE19" w:rsidR="0072674F" w:rsidRPr="0001291E" w:rsidRDefault="0072674F" w:rsidP="00475FA2">
      <w:pPr>
        <w:spacing w:before="120" w:line="276" w:lineRule="auto"/>
        <w:jc w:val="center"/>
        <w:rPr>
          <w:sz w:val="20"/>
          <w:szCs w:val="20"/>
        </w:rPr>
      </w:pPr>
      <w:r w:rsidRPr="0001291E">
        <w:rPr>
          <w:noProof/>
          <w:sz w:val="20"/>
          <w:szCs w:val="20"/>
          <w:lang w:val="en-IN" w:eastAsia="en-IN"/>
        </w:rPr>
        <w:lastRenderedPageBreak/>
        <w:drawing>
          <wp:inline distT="0" distB="0" distL="0" distR="0" wp14:anchorId="101A6085" wp14:editId="226DB7C8">
            <wp:extent cx="4945380" cy="2217420"/>
            <wp:effectExtent l="0" t="0" r="7620" b="11430"/>
            <wp:docPr id="39064875" name="Chart 1">
              <a:extLst xmlns:a="http://schemas.openxmlformats.org/drawingml/2006/main">
                <a:ext uri="{FF2B5EF4-FFF2-40B4-BE49-F238E27FC236}">
                  <a16:creationId xmlns:a16="http://schemas.microsoft.com/office/drawing/2014/main" id="{505D403B-4486-6DF7-B60D-583B5FCF18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B1ECCBE" w14:textId="77777777" w:rsidR="00475FA2" w:rsidRDefault="00475FA2" w:rsidP="00475FA2">
      <w:pPr>
        <w:spacing w:before="120" w:line="276" w:lineRule="auto"/>
        <w:rPr>
          <w:b/>
          <w:bCs/>
          <w:sz w:val="20"/>
          <w:szCs w:val="20"/>
        </w:rPr>
        <w:sectPr w:rsidR="00475FA2" w:rsidSect="00475FA2">
          <w:type w:val="continuous"/>
          <w:pgSz w:w="12240" w:h="15840" w:code="1"/>
          <w:pgMar w:top="1440" w:right="1440" w:bottom="1440" w:left="1440" w:header="706" w:footer="706" w:gutter="0"/>
          <w:cols w:space="720"/>
          <w:docGrid w:linePitch="299"/>
        </w:sectPr>
      </w:pPr>
    </w:p>
    <w:p w14:paraId="451FD1B8" w14:textId="77777777" w:rsidR="0072674F" w:rsidRPr="0001291E" w:rsidRDefault="0072674F" w:rsidP="00475FA2">
      <w:pPr>
        <w:spacing w:before="120" w:line="276" w:lineRule="auto"/>
        <w:rPr>
          <w:b/>
          <w:bCs/>
          <w:sz w:val="20"/>
          <w:szCs w:val="20"/>
        </w:rPr>
      </w:pPr>
      <w:r w:rsidRPr="0001291E">
        <w:rPr>
          <w:b/>
          <w:bCs/>
          <w:sz w:val="20"/>
          <w:szCs w:val="20"/>
        </w:rPr>
        <w:t>Interpretation:</w:t>
      </w:r>
    </w:p>
    <w:p w14:paraId="70BD6020" w14:textId="77777777" w:rsidR="0072674F" w:rsidRPr="0001291E" w:rsidRDefault="0072674F" w:rsidP="00475FA2">
      <w:pPr>
        <w:spacing w:before="120" w:line="276" w:lineRule="auto"/>
        <w:jc w:val="both"/>
        <w:rPr>
          <w:sz w:val="20"/>
          <w:szCs w:val="20"/>
        </w:rPr>
      </w:pPr>
      <w:r w:rsidRPr="0001291E">
        <w:rPr>
          <w:sz w:val="20"/>
          <w:szCs w:val="20"/>
        </w:rPr>
        <w:t xml:space="preserve">The table below shows respondents' opinions on whether ESG investing has a significant impact on the environment and society. It is clear that 42% of respondents agree that ESG investing plays a meaningful role in driving positive environmental and social change, indicating a strong belief in the influence of sustainable investing. Additionally, 32% </w:t>
      </w:r>
      <w:r w:rsidRPr="0001291E">
        <w:rPr>
          <w:sz w:val="20"/>
          <w:szCs w:val="20"/>
        </w:rPr>
        <w:t>strongly agree, further reinforcing the perception that ESG investments contribute to a better future. However, 26% of respondents remain neutral, suggesting some skepticism or a lack of clarity regarding the real-world impact of ESG investing. Overall, the data indicates that the majority of investors recognize the importance of ESG investing, though some remain uncertain about its effectiveness in creating tangible change.</w:t>
      </w:r>
    </w:p>
    <w:p w14:paraId="37A14354" w14:textId="77777777" w:rsidR="00475FA2" w:rsidRDefault="00475FA2" w:rsidP="00475FA2">
      <w:pPr>
        <w:spacing w:before="120" w:line="276" w:lineRule="auto"/>
        <w:jc w:val="center"/>
        <w:rPr>
          <w:rFonts w:eastAsia="Arial"/>
          <w:b/>
          <w:color w:val="010205"/>
          <w:sz w:val="20"/>
          <w:szCs w:val="20"/>
        </w:rPr>
        <w:sectPr w:rsidR="00475FA2" w:rsidSect="00475FA2">
          <w:type w:val="continuous"/>
          <w:pgSz w:w="12240" w:h="15840" w:code="1"/>
          <w:pgMar w:top="1440" w:right="1440" w:bottom="1440" w:left="1440" w:header="706" w:footer="706" w:gutter="0"/>
          <w:cols w:num="2" w:space="720"/>
          <w:docGrid w:linePitch="299"/>
        </w:sectPr>
      </w:pPr>
    </w:p>
    <w:p w14:paraId="4A097C26" w14:textId="57D9CD39" w:rsidR="00391D46" w:rsidRPr="0001291E" w:rsidRDefault="00391D46" w:rsidP="00475FA2">
      <w:pPr>
        <w:spacing w:before="120" w:line="276" w:lineRule="auto"/>
        <w:jc w:val="center"/>
        <w:rPr>
          <w:rFonts w:eastAsia="Arial"/>
          <w:b/>
          <w:color w:val="010205"/>
          <w:sz w:val="20"/>
          <w:szCs w:val="20"/>
        </w:rPr>
      </w:pPr>
      <w:r w:rsidRPr="0001291E">
        <w:rPr>
          <w:rFonts w:eastAsia="Arial"/>
          <w:b/>
          <w:color w:val="010205"/>
          <w:sz w:val="20"/>
          <w:szCs w:val="20"/>
        </w:rPr>
        <w:t>Have you ever consciously chosen an ESG-compliant investment?</w:t>
      </w:r>
    </w:p>
    <w:tbl>
      <w:tblPr>
        <w:tblW w:w="0" w:type="auto"/>
        <w:tblInd w:w="931" w:type="dxa"/>
        <w:tblLayout w:type="fixed"/>
        <w:tblCellMar>
          <w:left w:w="10" w:type="dxa"/>
          <w:right w:w="10" w:type="dxa"/>
        </w:tblCellMar>
        <w:tblLook w:val="04A0" w:firstRow="1" w:lastRow="0" w:firstColumn="1" w:lastColumn="0" w:noHBand="0" w:noVBand="1"/>
      </w:tblPr>
      <w:tblGrid>
        <w:gridCol w:w="833"/>
        <w:gridCol w:w="833"/>
        <w:gridCol w:w="1207"/>
        <w:gridCol w:w="1156"/>
        <w:gridCol w:w="1462"/>
        <w:gridCol w:w="1666"/>
      </w:tblGrid>
      <w:tr w:rsidR="004E0431" w:rsidRPr="004E0431" w14:paraId="09F7221D" w14:textId="77777777" w:rsidTr="00BC2511">
        <w:tc>
          <w:tcPr>
            <w:tcW w:w="166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8CC1C57" w14:textId="77777777" w:rsidR="00391D46" w:rsidRPr="004E0431" w:rsidRDefault="00391D46" w:rsidP="00475FA2">
            <w:pPr>
              <w:spacing w:before="120" w:line="276" w:lineRule="auto"/>
              <w:contextualSpacing/>
              <w:jc w:val="center"/>
              <w:rPr>
                <w:sz w:val="20"/>
                <w:szCs w:val="20"/>
              </w:rPr>
            </w:pPr>
          </w:p>
        </w:tc>
        <w:tc>
          <w:tcPr>
            <w:tcW w:w="1207" w:type="dxa"/>
            <w:tcBorders>
              <w:top w:val="single" w:sz="4" w:space="0" w:color="auto"/>
              <w:left w:val="single" w:sz="4" w:space="0" w:color="auto"/>
              <w:bottom w:val="single" w:sz="4" w:space="0" w:color="auto"/>
              <w:right w:val="single" w:sz="4" w:space="0" w:color="auto"/>
            </w:tcBorders>
            <w:shd w:val="clear" w:color="auto" w:fill="auto"/>
            <w:vAlign w:val="bottom"/>
          </w:tcPr>
          <w:p w14:paraId="4968373B" w14:textId="77777777" w:rsidR="00391D46" w:rsidRPr="004E0431" w:rsidRDefault="00391D46" w:rsidP="00475FA2">
            <w:pPr>
              <w:spacing w:before="120" w:line="276" w:lineRule="auto"/>
              <w:contextualSpacing/>
              <w:jc w:val="center"/>
              <w:rPr>
                <w:sz w:val="20"/>
                <w:szCs w:val="20"/>
              </w:rPr>
            </w:pPr>
            <w:r w:rsidRPr="004E0431">
              <w:rPr>
                <w:rFonts w:eastAsia="Arial"/>
                <w:sz w:val="20"/>
                <w:szCs w:val="20"/>
              </w:rPr>
              <w:t>Frequency</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bottom"/>
          </w:tcPr>
          <w:p w14:paraId="3E1BB590" w14:textId="77777777" w:rsidR="00391D46" w:rsidRPr="004E0431" w:rsidRDefault="00391D46" w:rsidP="00475FA2">
            <w:pPr>
              <w:spacing w:before="120" w:line="276" w:lineRule="auto"/>
              <w:contextualSpacing/>
              <w:jc w:val="center"/>
              <w:rPr>
                <w:sz w:val="20"/>
                <w:szCs w:val="20"/>
              </w:rPr>
            </w:pPr>
            <w:r w:rsidRPr="004E0431">
              <w:rPr>
                <w:rFonts w:eastAsia="Arial"/>
                <w:sz w:val="20"/>
                <w:szCs w:val="20"/>
              </w:rPr>
              <w:t>Percent</w:t>
            </w:r>
          </w:p>
        </w:tc>
        <w:tc>
          <w:tcPr>
            <w:tcW w:w="1462" w:type="dxa"/>
            <w:tcBorders>
              <w:top w:val="single" w:sz="4" w:space="0" w:color="auto"/>
              <w:left w:val="single" w:sz="4" w:space="0" w:color="auto"/>
              <w:bottom w:val="single" w:sz="4" w:space="0" w:color="auto"/>
              <w:right w:val="single" w:sz="4" w:space="0" w:color="auto"/>
            </w:tcBorders>
            <w:shd w:val="clear" w:color="auto" w:fill="auto"/>
            <w:vAlign w:val="bottom"/>
          </w:tcPr>
          <w:p w14:paraId="48113B11" w14:textId="77777777" w:rsidR="00391D46" w:rsidRPr="004E0431" w:rsidRDefault="00391D46" w:rsidP="00475FA2">
            <w:pPr>
              <w:spacing w:before="120" w:line="276" w:lineRule="auto"/>
              <w:contextualSpacing/>
              <w:jc w:val="center"/>
              <w:rPr>
                <w:sz w:val="20"/>
                <w:szCs w:val="20"/>
              </w:rPr>
            </w:pPr>
            <w:r w:rsidRPr="004E0431">
              <w:rPr>
                <w:rFonts w:eastAsia="Arial"/>
                <w:sz w:val="20"/>
                <w:szCs w:val="20"/>
              </w:rPr>
              <w:t>Valid Percent</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bottom"/>
          </w:tcPr>
          <w:p w14:paraId="5813C847" w14:textId="77777777" w:rsidR="00391D46" w:rsidRPr="004E0431" w:rsidRDefault="00391D46" w:rsidP="00475FA2">
            <w:pPr>
              <w:spacing w:before="120" w:line="276" w:lineRule="auto"/>
              <w:contextualSpacing/>
              <w:jc w:val="center"/>
              <w:rPr>
                <w:sz w:val="20"/>
                <w:szCs w:val="20"/>
              </w:rPr>
            </w:pPr>
            <w:r w:rsidRPr="004E0431">
              <w:rPr>
                <w:rFonts w:eastAsia="Arial"/>
                <w:sz w:val="20"/>
                <w:szCs w:val="20"/>
              </w:rPr>
              <w:t>Cumulative Percent</w:t>
            </w:r>
          </w:p>
        </w:tc>
      </w:tr>
      <w:tr w:rsidR="004E0431" w:rsidRPr="004E0431" w14:paraId="6AF2824F" w14:textId="77777777" w:rsidTr="00BC2511">
        <w:tc>
          <w:tcPr>
            <w:tcW w:w="833" w:type="dxa"/>
            <w:vMerge w:val="restart"/>
            <w:tcBorders>
              <w:top w:val="single" w:sz="4" w:space="0" w:color="auto"/>
              <w:left w:val="single" w:sz="4" w:space="0" w:color="auto"/>
              <w:bottom w:val="single" w:sz="4" w:space="0" w:color="auto"/>
              <w:right w:val="single" w:sz="4" w:space="0" w:color="auto"/>
            </w:tcBorders>
            <w:shd w:val="clear" w:color="auto" w:fill="auto"/>
          </w:tcPr>
          <w:p w14:paraId="68E46F99" w14:textId="77777777" w:rsidR="00391D46" w:rsidRPr="004E0431" w:rsidRDefault="00391D46" w:rsidP="00475FA2">
            <w:pPr>
              <w:spacing w:before="120" w:line="276" w:lineRule="auto"/>
              <w:contextualSpacing/>
              <w:jc w:val="center"/>
              <w:rPr>
                <w:sz w:val="20"/>
                <w:szCs w:val="20"/>
              </w:rPr>
            </w:pPr>
            <w:r w:rsidRPr="004E0431">
              <w:rPr>
                <w:rFonts w:eastAsia="Arial"/>
                <w:sz w:val="20"/>
                <w:szCs w:val="20"/>
              </w:rPr>
              <w:t>Valid</w:t>
            </w:r>
          </w:p>
        </w:tc>
        <w:tc>
          <w:tcPr>
            <w:tcW w:w="833" w:type="dxa"/>
            <w:tcBorders>
              <w:top w:val="single" w:sz="4" w:space="0" w:color="auto"/>
              <w:left w:val="single" w:sz="4" w:space="0" w:color="auto"/>
              <w:bottom w:val="single" w:sz="4" w:space="0" w:color="auto"/>
              <w:right w:val="single" w:sz="4" w:space="0" w:color="auto"/>
            </w:tcBorders>
            <w:shd w:val="clear" w:color="auto" w:fill="auto"/>
          </w:tcPr>
          <w:p w14:paraId="1E9A4236" w14:textId="77777777" w:rsidR="00391D46" w:rsidRPr="004E0431" w:rsidRDefault="00391D46" w:rsidP="00475FA2">
            <w:pPr>
              <w:spacing w:before="120" w:line="276" w:lineRule="auto"/>
              <w:contextualSpacing/>
              <w:jc w:val="center"/>
              <w:rPr>
                <w:sz w:val="20"/>
                <w:szCs w:val="20"/>
              </w:rPr>
            </w:pPr>
            <w:r w:rsidRPr="004E0431">
              <w:rPr>
                <w:rFonts w:eastAsia="Arial"/>
                <w:sz w:val="20"/>
                <w:szCs w:val="20"/>
              </w:rPr>
              <w:t>Yes</w:t>
            </w:r>
          </w:p>
        </w:tc>
        <w:tc>
          <w:tcPr>
            <w:tcW w:w="1207" w:type="dxa"/>
            <w:tcBorders>
              <w:top w:val="single" w:sz="4" w:space="0" w:color="auto"/>
              <w:left w:val="single" w:sz="4" w:space="0" w:color="auto"/>
              <w:bottom w:val="single" w:sz="4" w:space="0" w:color="auto"/>
              <w:right w:val="single" w:sz="4" w:space="0" w:color="auto"/>
            </w:tcBorders>
            <w:shd w:val="clear" w:color="auto" w:fill="auto"/>
          </w:tcPr>
          <w:p w14:paraId="1EEACE3D" w14:textId="77777777" w:rsidR="00391D46" w:rsidRPr="004E0431" w:rsidRDefault="00391D46" w:rsidP="00475FA2">
            <w:pPr>
              <w:spacing w:before="120" w:line="276" w:lineRule="auto"/>
              <w:contextualSpacing/>
              <w:jc w:val="center"/>
              <w:rPr>
                <w:sz w:val="20"/>
                <w:szCs w:val="20"/>
              </w:rPr>
            </w:pPr>
            <w:r w:rsidRPr="004E0431">
              <w:rPr>
                <w:rFonts w:eastAsia="Arial"/>
                <w:sz w:val="20"/>
                <w:szCs w:val="20"/>
              </w:rPr>
              <w:t>102</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30F6AB9D" w14:textId="77777777" w:rsidR="00391D46" w:rsidRPr="004E0431" w:rsidRDefault="00391D46" w:rsidP="00475FA2">
            <w:pPr>
              <w:spacing w:before="120" w:line="276" w:lineRule="auto"/>
              <w:contextualSpacing/>
              <w:jc w:val="center"/>
              <w:rPr>
                <w:sz w:val="20"/>
                <w:szCs w:val="20"/>
              </w:rPr>
            </w:pPr>
            <w:r w:rsidRPr="004E0431">
              <w:rPr>
                <w:rFonts w:eastAsia="Arial"/>
                <w:sz w:val="20"/>
                <w:szCs w:val="20"/>
              </w:rPr>
              <w:t>51.0</w:t>
            </w:r>
          </w:p>
        </w:tc>
        <w:tc>
          <w:tcPr>
            <w:tcW w:w="1462" w:type="dxa"/>
            <w:tcBorders>
              <w:top w:val="single" w:sz="4" w:space="0" w:color="auto"/>
              <w:left w:val="single" w:sz="4" w:space="0" w:color="auto"/>
              <w:bottom w:val="single" w:sz="4" w:space="0" w:color="auto"/>
              <w:right w:val="single" w:sz="4" w:space="0" w:color="auto"/>
            </w:tcBorders>
            <w:shd w:val="clear" w:color="auto" w:fill="auto"/>
          </w:tcPr>
          <w:p w14:paraId="02227B62" w14:textId="77777777" w:rsidR="00391D46" w:rsidRPr="004E0431" w:rsidRDefault="00391D46" w:rsidP="00475FA2">
            <w:pPr>
              <w:spacing w:before="120" w:line="276" w:lineRule="auto"/>
              <w:contextualSpacing/>
              <w:jc w:val="center"/>
              <w:rPr>
                <w:sz w:val="20"/>
                <w:szCs w:val="20"/>
              </w:rPr>
            </w:pPr>
            <w:r w:rsidRPr="004E0431">
              <w:rPr>
                <w:rFonts w:eastAsia="Arial"/>
                <w:sz w:val="20"/>
                <w:szCs w:val="20"/>
              </w:rPr>
              <w:t>51.0</w:t>
            </w:r>
          </w:p>
        </w:tc>
        <w:tc>
          <w:tcPr>
            <w:tcW w:w="1666" w:type="dxa"/>
            <w:tcBorders>
              <w:top w:val="single" w:sz="4" w:space="0" w:color="auto"/>
              <w:left w:val="single" w:sz="4" w:space="0" w:color="auto"/>
              <w:bottom w:val="single" w:sz="4" w:space="0" w:color="auto"/>
              <w:right w:val="single" w:sz="4" w:space="0" w:color="auto"/>
            </w:tcBorders>
            <w:shd w:val="clear" w:color="auto" w:fill="auto"/>
          </w:tcPr>
          <w:p w14:paraId="7FE40DCE" w14:textId="77777777" w:rsidR="00391D46" w:rsidRPr="004E0431" w:rsidRDefault="00391D46" w:rsidP="00475FA2">
            <w:pPr>
              <w:spacing w:before="120" w:line="276" w:lineRule="auto"/>
              <w:contextualSpacing/>
              <w:jc w:val="center"/>
              <w:rPr>
                <w:sz w:val="20"/>
                <w:szCs w:val="20"/>
              </w:rPr>
            </w:pPr>
            <w:r w:rsidRPr="004E0431">
              <w:rPr>
                <w:rFonts w:eastAsia="Arial"/>
                <w:sz w:val="20"/>
                <w:szCs w:val="20"/>
              </w:rPr>
              <w:t>51.0</w:t>
            </w:r>
          </w:p>
        </w:tc>
      </w:tr>
      <w:tr w:rsidR="004E0431" w:rsidRPr="004E0431" w14:paraId="7CE96237" w14:textId="77777777" w:rsidTr="00BC2511">
        <w:tc>
          <w:tcPr>
            <w:tcW w:w="833" w:type="dxa"/>
            <w:vMerge/>
            <w:tcBorders>
              <w:top w:val="single" w:sz="4" w:space="0" w:color="auto"/>
              <w:left w:val="single" w:sz="4" w:space="0" w:color="auto"/>
              <w:bottom w:val="single" w:sz="4" w:space="0" w:color="auto"/>
              <w:right w:val="single" w:sz="4" w:space="0" w:color="auto"/>
            </w:tcBorders>
            <w:shd w:val="clear" w:color="auto" w:fill="auto"/>
          </w:tcPr>
          <w:p w14:paraId="747E05CF" w14:textId="77777777" w:rsidR="00391D46" w:rsidRPr="004E0431" w:rsidRDefault="00391D46" w:rsidP="00475FA2">
            <w:pPr>
              <w:spacing w:before="120" w:line="276" w:lineRule="auto"/>
              <w:contextualSpacing/>
              <w:jc w:val="center"/>
              <w:rPr>
                <w:sz w:val="20"/>
                <w:szCs w:val="20"/>
              </w:rPr>
            </w:pPr>
          </w:p>
        </w:tc>
        <w:tc>
          <w:tcPr>
            <w:tcW w:w="833" w:type="dxa"/>
            <w:tcBorders>
              <w:top w:val="single" w:sz="4" w:space="0" w:color="auto"/>
              <w:left w:val="single" w:sz="4" w:space="0" w:color="auto"/>
              <w:bottom w:val="single" w:sz="4" w:space="0" w:color="auto"/>
              <w:right w:val="single" w:sz="4" w:space="0" w:color="auto"/>
            </w:tcBorders>
            <w:shd w:val="clear" w:color="auto" w:fill="auto"/>
          </w:tcPr>
          <w:p w14:paraId="21B1D2CF" w14:textId="77777777" w:rsidR="00391D46" w:rsidRPr="004E0431" w:rsidRDefault="00391D46" w:rsidP="00475FA2">
            <w:pPr>
              <w:spacing w:before="120" w:line="276" w:lineRule="auto"/>
              <w:contextualSpacing/>
              <w:jc w:val="center"/>
              <w:rPr>
                <w:sz w:val="20"/>
                <w:szCs w:val="20"/>
              </w:rPr>
            </w:pPr>
            <w:r w:rsidRPr="004E0431">
              <w:rPr>
                <w:rFonts w:eastAsia="Arial"/>
                <w:sz w:val="20"/>
                <w:szCs w:val="20"/>
              </w:rPr>
              <w:t>No</w:t>
            </w:r>
          </w:p>
        </w:tc>
        <w:tc>
          <w:tcPr>
            <w:tcW w:w="1207" w:type="dxa"/>
            <w:tcBorders>
              <w:top w:val="single" w:sz="4" w:space="0" w:color="auto"/>
              <w:left w:val="single" w:sz="4" w:space="0" w:color="auto"/>
              <w:bottom w:val="single" w:sz="4" w:space="0" w:color="auto"/>
              <w:right w:val="single" w:sz="4" w:space="0" w:color="auto"/>
            </w:tcBorders>
            <w:shd w:val="clear" w:color="auto" w:fill="auto"/>
          </w:tcPr>
          <w:p w14:paraId="3DF1055F" w14:textId="77777777" w:rsidR="00391D46" w:rsidRPr="004E0431" w:rsidRDefault="00391D46" w:rsidP="00475FA2">
            <w:pPr>
              <w:spacing w:before="120" w:line="276" w:lineRule="auto"/>
              <w:contextualSpacing/>
              <w:jc w:val="center"/>
              <w:rPr>
                <w:sz w:val="20"/>
                <w:szCs w:val="20"/>
              </w:rPr>
            </w:pPr>
            <w:r w:rsidRPr="004E0431">
              <w:rPr>
                <w:rFonts w:eastAsia="Arial"/>
                <w:sz w:val="20"/>
                <w:szCs w:val="20"/>
              </w:rPr>
              <w:t>98</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6267F3DD" w14:textId="77777777" w:rsidR="00391D46" w:rsidRPr="004E0431" w:rsidRDefault="00391D46" w:rsidP="00475FA2">
            <w:pPr>
              <w:spacing w:before="120" w:line="276" w:lineRule="auto"/>
              <w:contextualSpacing/>
              <w:jc w:val="center"/>
              <w:rPr>
                <w:sz w:val="20"/>
                <w:szCs w:val="20"/>
              </w:rPr>
            </w:pPr>
            <w:r w:rsidRPr="004E0431">
              <w:rPr>
                <w:rFonts w:eastAsia="Arial"/>
                <w:sz w:val="20"/>
                <w:szCs w:val="20"/>
              </w:rPr>
              <w:t>49.0</w:t>
            </w:r>
          </w:p>
        </w:tc>
        <w:tc>
          <w:tcPr>
            <w:tcW w:w="1462" w:type="dxa"/>
            <w:tcBorders>
              <w:top w:val="single" w:sz="4" w:space="0" w:color="auto"/>
              <w:left w:val="single" w:sz="4" w:space="0" w:color="auto"/>
              <w:bottom w:val="single" w:sz="4" w:space="0" w:color="auto"/>
              <w:right w:val="single" w:sz="4" w:space="0" w:color="auto"/>
            </w:tcBorders>
            <w:shd w:val="clear" w:color="auto" w:fill="auto"/>
          </w:tcPr>
          <w:p w14:paraId="490343C5" w14:textId="77777777" w:rsidR="00391D46" w:rsidRPr="004E0431" w:rsidRDefault="00391D46" w:rsidP="00475FA2">
            <w:pPr>
              <w:spacing w:before="120" w:line="276" w:lineRule="auto"/>
              <w:contextualSpacing/>
              <w:jc w:val="center"/>
              <w:rPr>
                <w:sz w:val="20"/>
                <w:szCs w:val="20"/>
              </w:rPr>
            </w:pPr>
            <w:r w:rsidRPr="004E0431">
              <w:rPr>
                <w:rFonts w:eastAsia="Arial"/>
                <w:sz w:val="20"/>
                <w:szCs w:val="20"/>
              </w:rPr>
              <w:t>49.0</w:t>
            </w:r>
          </w:p>
        </w:tc>
        <w:tc>
          <w:tcPr>
            <w:tcW w:w="1666" w:type="dxa"/>
            <w:tcBorders>
              <w:top w:val="single" w:sz="4" w:space="0" w:color="auto"/>
              <w:left w:val="single" w:sz="4" w:space="0" w:color="auto"/>
              <w:bottom w:val="single" w:sz="4" w:space="0" w:color="auto"/>
              <w:right w:val="single" w:sz="4" w:space="0" w:color="auto"/>
            </w:tcBorders>
            <w:shd w:val="clear" w:color="auto" w:fill="auto"/>
          </w:tcPr>
          <w:p w14:paraId="1D4BB848" w14:textId="77777777" w:rsidR="00391D46" w:rsidRPr="004E0431" w:rsidRDefault="00391D46" w:rsidP="00475FA2">
            <w:pPr>
              <w:spacing w:before="120" w:line="276" w:lineRule="auto"/>
              <w:contextualSpacing/>
              <w:jc w:val="center"/>
              <w:rPr>
                <w:sz w:val="20"/>
                <w:szCs w:val="20"/>
              </w:rPr>
            </w:pPr>
            <w:r w:rsidRPr="004E0431">
              <w:rPr>
                <w:rFonts w:eastAsia="Arial"/>
                <w:sz w:val="20"/>
                <w:szCs w:val="20"/>
              </w:rPr>
              <w:t>100.0</w:t>
            </w:r>
          </w:p>
        </w:tc>
      </w:tr>
      <w:tr w:rsidR="004E0431" w:rsidRPr="004E0431" w14:paraId="30973297" w14:textId="77777777" w:rsidTr="00BC2511">
        <w:tc>
          <w:tcPr>
            <w:tcW w:w="833" w:type="dxa"/>
            <w:vMerge/>
            <w:tcBorders>
              <w:top w:val="single" w:sz="4" w:space="0" w:color="auto"/>
              <w:left w:val="single" w:sz="4" w:space="0" w:color="auto"/>
              <w:bottom w:val="single" w:sz="4" w:space="0" w:color="auto"/>
              <w:right w:val="single" w:sz="4" w:space="0" w:color="auto"/>
            </w:tcBorders>
            <w:shd w:val="clear" w:color="auto" w:fill="auto"/>
          </w:tcPr>
          <w:p w14:paraId="2069E3CD" w14:textId="77777777" w:rsidR="00391D46" w:rsidRPr="004E0431" w:rsidRDefault="00391D46" w:rsidP="00475FA2">
            <w:pPr>
              <w:spacing w:before="120" w:line="276" w:lineRule="auto"/>
              <w:contextualSpacing/>
              <w:jc w:val="center"/>
              <w:rPr>
                <w:sz w:val="20"/>
                <w:szCs w:val="20"/>
              </w:rPr>
            </w:pPr>
          </w:p>
        </w:tc>
        <w:tc>
          <w:tcPr>
            <w:tcW w:w="833" w:type="dxa"/>
            <w:tcBorders>
              <w:top w:val="single" w:sz="4" w:space="0" w:color="auto"/>
              <w:left w:val="single" w:sz="4" w:space="0" w:color="auto"/>
              <w:bottom w:val="single" w:sz="4" w:space="0" w:color="auto"/>
              <w:right w:val="single" w:sz="4" w:space="0" w:color="auto"/>
            </w:tcBorders>
            <w:shd w:val="clear" w:color="auto" w:fill="auto"/>
          </w:tcPr>
          <w:p w14:paraId="1954E0DA" w14:textId="77777777" w:rsidR="00391D46" w:rsidRPr="004E0431" w:rsidRDefault="00391D46" w:rsidP="00475FA2">
            <w:pPr>
              <w:spacing w:before="120" w:line="276" w:lineRule="auto"/>
              <w:contextualSpacing/>
              <w:jc w:val="center"/>
              <w:rPr>
                <w:sz w:val="20"/>
                <w:szCs w:val="20"/>
              </w:rPr>
            </w:pPr>
            <w:r w:rsidRPr="004E0431">
              <w:rPr>
                <w:rFonts w:eastAsia="Arial"/>
                <w:sz w:val="20"/>
                <w:szCs w:val="20"/>
              </w:rPr>
              <w:t>Total</w:t>
            </w:r>
          </w:p>
        </w:tc>
        <w:tc>
          <w:tcPr>
            <w:tcW w:w="1207" w:type="dxa"/>
            <w:tcBorders>
              <w:top w:val="single" w:sz="4" w:space="0" w:color="auto"/>
              <w:left w:val="single" w:sz="4" w:space="0" w:color="auto"/>
              <w:bottom w:val="single" w:sz="4" w:space="0" w:color="auto"/>
              <w:right w:val="single" w:sz="4" w:space="0" w:color="auto"/>
            </w:tcBorders>
            <w:shd w:val="clear" w:color="auto" w:fill="auto"/>
          </w:tcPr>
          <w:p w14:paraId="6842D991" w14:textId="77777777" w:rsidR="00391D46" w:rsidRPr="004E0431" w:rsidRDefault="00391D46" w:rsidP="00475FA2">
            <w:pPr>
              <w:spacing w:before="120" w:line="276" w:lineRule="auto"/>
              <w:contextualSpacing/>
              <w:jc w:val="center"/>
              <w:rPr>
                <w:sz w:val="20"/>
                <w:szCs w:val="20"/>
              </w:rPr>
            </w:pPr>
            <w:r w:rsidRPr="004E0431">
              <w:rPr>
                <w:rFonts w:eastAsia="Arial"/>
                <w:sz w:val="20"/>
                <w:szCs w:val="20"/>
              </w:rPr>
              <w:t>200</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67A18FBA" w14:textId="77777777" w:rsidR="00391D46" w:rsidRPr="004E0431" w:rsidRDefault="00391D46" w:rsidP="00475FA2">
            <w:pPr>
              <w:spacing w:before="120" w:line="276" w:lineRule="auto"/>
              <w:contextualSpacing/>
              <w:jc w:val="center"/>
              <w:rPr>
                <w:sz w:val="20"/>
                <w:szCs w:val="20"/>
              </w:rPr>
            </w:pPr>
            <w:r w:rsidRPr="004E0431">
              <w:rPr>
                <w:rFonts w:eastAsia="Arial"/>
                <w:sz w:val="20"/>
                <w:szCs w:val="20"/>
              </w:rPr>
              <w:t>100.0</w:t>
            </w:r>
          </w:p>
        </w:tc>
        <w:tc>
          <w:tcPr>
            <w:tcW w:w="1462" w:type="dxa"/>
            <w:tcBorders>
              <w:top w:val="single" w:sz="4" w:space="0" w:color="auto"/>
              <w:left w:val="single" w:sz="4" w:space="0" w:color="auto"/>
              <w:bottom w:val="single" w:sz="4" w:space="0" w:color="auto"/>
              <w:right w:val="single" w:sz="4" w:space="0" w:color="auto"/>
            </w:tcBorders>
            <w:shd w:val="clear" w:color="auto" w:fill="auto"/>
          </w:tcPr>
          <w:p w14:paraId="3C13BCAB" w14:textId="77777777" w:rsidR="00391D46" w:rsidRPr="004E0431" w:rsidRDefault="00391D46" w:rsidP="00475FA2">
            <w:pPr>
              <w:spacing w:before="120" w:line="276" w:lineRule="auto"/>
              <w:contextualSpacing/>
              <w:jc w:val="center"/>
              <w:rPr>
                <w:sz w:val="20"/>
                <w:szCs w:val="20"/>
              </w:rPr>
            </w:pPr>
            <w:r w:rsidRPr="004E0431">
              <w:rPr>
                <w:rFonts w:eastAsia="Arial"/>
                <w:sz w:val="20"/>
                <w:szCs w:val="20"/>
              </w:rPr>
              <w:t>100.0</w:t>
            </w:r>
          </w:p>
        </w:tc>
        <w:tc>
          <w:tcPr>
            <w:tcW w:w="1666" w:type="dxa"/>
            <w:tcBorders>
              <w:top w:val="single" w:sz="4" w:space="0" w:color="auto"/>
              <w:left w:val="single" w:sz="4" w:space="0" w:color="auto"/>
              <w:bottom w:val="single" w:sz="4" w:space="0" w:color="auto"/>
              <w:right w:val="single" w:sz="4" w:space="0" w:color="auto"/>
            </w:tcBorders>
            <w:shd w:val="clear" w:color="auto" w:fill="auto"/>
          </w:tcPr>
          <w:p w14:paraId="5C39CDC0" w14:textId="77777777" w:rsidR="00391D46" w:rsidRPr="004E0431" w:rsidRDefault="00391D46" w:rsidP="00475FA2">
            <w:pPr>
              <w:spacing w:before="120" w:line="276" w:lineRule="auto"/>
              <w:contextualSpacing/>
              <w:jc w:val="center"/>
              <w:rPr>
                <w:sz w:val="20"/>
                <w:szCs w:val="20"/>
              </w:rPr>
            </w:pPr>
          </w:p>
        </w:tc>
      </w:tr>
    </w:tbl>
    <w:p w14:paraId="52719807" w14:textId="36C66928" w:rsidR="00391D46" w:rsidRPr="0001291E" w:rsidRDefault="00391D46" w:rsidP="00475FA2">
      <w:pPr>
        <w:spacing w:before="120" w:line="276" w:lineRule="auto"/>
        <w:jc w:val="center"/>
        <w:rPr>
          <w:sz w:val="20"/>
          <w:szCs w:val="20"/>
        </w:rPr>
      </w:pPr>
      <w:r w:rsidRPr="0001291E">
        <w:rPr>
          <w:noProof/>
          <w:sz w:val="20"/>
          <w:szCs w:val="20"/>
          <w:lang w:val="en-IN" w:eastAsia="en-IN"/>
        </w:rPr>
        <w:drawing>
          <wp:inline distT="0" distB="0" distL="0" distR="0" wp14:anchorId="3F04440F" wp14:editId="4C91A975">
            <wp:extent cx="4553585" cy="1798320"/>
            <wp:effectExtent l="0" t="0" r="18415" b="11430"/>
            <wp:docPr id="988333067" name="Chart 1">
              <a:extLst xmlns:a="http://schemas.openxmlformats.org/drawingml/2006/main">
                <a:ext uri="{FF2B5EF4-FFF2-40B4-BE49-F238E27FC236}">
                  <a16:creationId xmlns:a16="http://schemas.microsoft.com/office/drawing/2014/main" id="{2CAEC690-678E-F831-C851-40C12D8EBE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0FC4825" w14:textId="77777777" w:rsidR="00475FA2" w:rsidRDefault="00475FA2" w:rsidP="00475FA2">
      <w:pPr>
        <w:spacing w:before="120" w:line="276" w:lineRule="auto"/>
        <w:rPr>
          <w:b/>
          <w:bCs/>
          <w:sz w:val="20"/>
          <w:szCs w:val="20"/>
        </w:rPr>
        <w:sectPr w:rsidR="00475FA2" w:rsidSect="00475FA2">
          <w:type w:val="continuous"/>
          <w:pgSz w:w="12240" w:h="15840" w:code="1"/>
          <w:pgMar w:top="1440" w:right="1440" w:bottom="1440" w:left="1440" w:header="706" w:footer="706" w:gutter="0"/>
          <w:cols w:space="720"/>
          <w:docGrid w:linePitch="299"/>
        </w:sectPr>
      </w:pPr>
    </w:p>
    <w:p w14:paraId="7ED3D68D" w14:textId="77777777" w:rsidR="00391D46" w:rsidRPr="0001291E" w:rsidRDefault="00391D46" w:rsidP="00475FA2">
      <w:pPr>
        <w:spacing w:before="120" w:line="276" w:lineRule="auto"/>
        <w:rPr>
          <w:b/>
          <w:bCs/>
          <w:sz w:val="20"/>
          <w:szCs w:val="20"/>
        </w:rPr>
      </w:pPr>
      <w:r w:rsidRPr="0001291E">
        <w:rPr>
          <w:b/>
          <w:bCs/>
          <w:sz w:val="20"/>
          <w:szCs w:val="20"/>
        </w:rPr>
        <w:t>Interpretation:</w:t>
      </w:r>
    </w:p>
    <w:p w14:paraId="1FDAE87E" w14:textId="77777777" w:rsidR="00391D46" w:rsidRPr="0001291E" w:rsidRDefault="00391D46" w:rsidP="00475FA2">
      <w:pPr>
        <w:spacing w:before="120" w:line="276" w:lineRule="auto"/>
        <w:jc w:val="both"/>
        <w:rPr>
          <w:sz w:val="20"/>
          <w:szCs w:val="20"/>
        </w:rPr>
      </w:pPr>
      <w:r w:rsidRPr="0001291E">
        <w:rPr>
          <w:sz w:val="20"/>
          <w:szCs w:val="20"/>
        </w:rPr>
        <w:t xml:space="preserve">The table below shows whether respondents have consciously chosen an ESG-compliant investment. It is clear that 51% of respondents have intentionally </w:t>
      </w:r>
      <w:r w:rsidRPr="0001291E">
        <w:rPr>
          <w:sz w:val="20"/>
          <w:szCs w:val="20"/>
        </w:rPr>
        <w:t xml:space="preserve">invested in ESG-compliant assets, indicating a growing awareness and preference for sustainable investing. However, a nearly equal 49% have not made a conscious ESG investment choice, suggesting that either ESG factors are not a priority for them or </w:t>
      </w:r>
      <w:r w:rsidRPr="0001291E">
        <w:rPr>
          <w:sz w:val="20"/>
          <w:szCs w:val="20"/>
        </w:rPr>
        <w:lastRenderedPageBreak/>
        <w:t xml:space="preserve">they may lack sufficient knowledge about such investments. Overall, the data highlights that while ESG investing is gaining traction, there is still a </w:t>
      </w:r>
      <w:r w:rsidRPr="0001291E">
        <w:rPr>
          <w:sz w:val="20"/>
          <w:szCs w:val="20"/>
        </w:rPr>
        <w:t>significant portion of investors who have yet to actively incorporate ESG considerations into their investment decisions.</w:t>
      </w:r>
    </w:p>
    <w:p w14:paraId="09686725" w14:textId="77777777" w:rsidR="00475FA2" w:rsidRDefault="00475FA2" w:rsidP="00475FA2">
      <w:pPr>
        <w:spacing w:before="120" w:line="276" w:lineRule="auto"/>
        <w:jc w:val="center"/>
        <w:rPr>
          <w:rFonts w:eastAsia="Arial"/>
          <w:b/>
          <w:color w:val="010205"/>
          <w:sz w:val="20"/>
          <w:szCs w:val="20"/>
        </w:rPr>
        <w:sectPr w:rsidR="00475FA2" w:rsidSect="00475FA2">
          <w:type w:val="continuous"/>
          <w:pgSz w:w="12240" w:h="15840" w:code="1"/>
          <w:pgMar w:top="1440" w:right="1440" w:bottom="1440" w:left="1440" w:header="706" w:footer="706" w:gutter="0"/>
          <w:cols w:num="2" w:space="720"/>
          <w:docGrid w:linePitch="299"/>
        </w:sectPr>
      </w:pPr>
    </w:p>
    <w:p w14:paraId="3A75EAA2" w14:textId="017357BD" w:rsidR="00391D46" w:rsidRPr="0001291E" w:rsidRDefault="00391D46" w:rsidP="00475FA2">
      <w:pPr>
        <w:spacing w:before="120" w:line="276" w:lineRule="auto"/>
        <w:jc w:val="center"/>
        <w:rPr>
          <w:rFonts w:eastAsia="Arial"/>
          <w:b/>
          <w:color w:val="010205"/>
          <w:sz w:val="20"/>
          <w:szCs w:val="20"/>
        </w:rPr>
      </w:pPr>
      <w:r w:rsidRPr="0001291E">
        <w:rPr>
          <w:rFonts w:eastAsia="Arial"/>
          <w:b/>
          <w:color w:val="010205"/>
          <w:sz w:val="20"/>
          <w:szCs w:val="20"/>
        </w:rPr>
        <w:t>What factors influence your decision to invest in ESG-compliant financial products?</w:t>
      </w:r>
    </w:p>
    <w:tbl>
      <w:tblPr>
        <w:tblW w:w="0" w:type="auto"/>
        <w:tblLayout w:type="fixed"/>
        <w:tblCellMar>
          <w:left w:w="10" w:type="dxa"/>
          <w:right w:w="10" w:type="dxa"/>
        </w:tblCellMar>
        <w:tblLook w:val="04A0" w:firstRow="1" w:lastRow="0" w:firstColumn="1" w:lastColumn="0" w:noHBand="0" w:noVBand="1"/>
      </w:tblPr>
      <w:tblGrid>
        <w:gridCol w:w="833"/>
        <w:gridCol w:w="2788"/>
        <w:gridCol w:w="1207"/>
        <w:gridCol w:w="1156"/>
        <w:gridCol w:w="1462"/>
        <w:gridCol w:w="1666"/>
      </w:tblGrid>
      <w:tr w:rsidR="004E0431" w:rsidRPr="004E0431" w14:paraId="541A3A53" w14:textId="77777777" w:rsidTr="00BC2511">
        <w:tc>
          <w:tcPr>
            <w:tcW w:w="362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8726FFE" w14:textId="77777777" w:rsidR="00391D46" w:rsidRPr="004E0431" w:rsidRDefault="00391D46" w:rsidP="00475FA2">
            <w:pPr>
              <w:spacing w:before="120" w:line="276" w:lineRule="auto"/>
              <w:contextualSpacing/>
              <w:rPr>
                <w:sz w:val="20"/>
                <w:szCs w:val="20"/>
              </w:rPr>
            </w:pPr>
          </w:p>
        </w:tc>
        <w:tc>
          <w:tcPr>
            <w:tcW w:w="1207" w:type="dxa"/>
            <w:tcBorders>
              <w:top w:val="single" w:sz="4" w:space="0" w:color="auto"/>
              <w:left w:val="single" w:sz="4" w:space="0" w:color="auto"/>
              <w:bottom w:val="single" w:sz="4" w:space="0" w:color="auto"/>
              <w:right w:val="single" w:sz="4" w:space="0" w:color="auto"/>
            </w:tcBorders>
            <w:shd w:val="clear" w:color="auto" w:fill="auto"/>
            <w:vAlign w:val="bottom"/>
          </w:tcPr>
          <w:p w14:paraId="793F1B9E" w14:textId="77777777" w:rsidR="00391D46" w:rsidRPr="004E0431" w:rsidRDefault="00391D46" w:rsidP="00475FA2">
            <w:pPr>
              <w:spacing w:before="120" w:line="276" w:lineRule="auto"/>
              <w:contextualSpacing/>
              <w:jc w:val="center"/>
              <w:rPr>
                <w:sz w:val="20"/>
                <w:szCs w:val="20"/>
              </w:rPr>
            </w:pPr>
            <w:r w:rsidRPr="004E0431">
              <w:rPr>
                <w:rFonts w:eastAsia="Arial"/>
                <w:sz w:val="20"/>
                <w:szCs w:val="20"/>
              </w:rPr>
              <w:t>Frequency</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bottom"/>
          </w:tcPr>
          <w:p w14:paraId="05136D05" w14:textId="77777777" w:rsidR="00391D46" w:rsidRPr="004E0431" w:rsidRDefault="00391D46" w:rsidP="00475FA2">
            <w:pPr>
              <w:spacing w:before="120" w:line="276" w:lineRule="auto"/>
              <w:contextualSpacing/>
              <w:jc w:val="center"/>
              <w:rPr>
                <w:sz w:val="20"/>
                <w:szCs w:val="20"/>
              </w:rPr>
            </w:pPr>
            <w:r w:rsidRPr="004E0431">
              <w:rPr>
                <w:rFonts w:eastAsia="Arial"/>
                <w:sz w:val="20"/>
                <w:szCs w:val="20"/>
              </w:rPr>
              <w:t>Percent</w:t>
            </w:r>
          </w:p>
        </w:tc>
        <w:tc>
          <w:tcPr>
            <w:tcW w:w="1462" w:type="dxa"/>
            <w:tcBorders>
              <w:top w:val="single" w:sz="4" w:space="0" w:color="auto"/>
              <w:left w:val="single" w:sz="4" w:space="0" w:color="auto"/>
              <w:bottom w:val="single" w:sz="4" w:space="0" w:color="auto"/>
              <w:right w:val="single" w:sz="4" w:space="0" w:color="auto"/>
            </w:tcBorders>
            <w:shd w:val="clear" w:color="auto" w:fill="auto"/>
            <w:vAlign w:val="bottom"/>
          </w:tcPr>
          <w:p w14:paraId="554A0C97" w14:textId="77777777" w:rsidR="00391D46" w:rsidRPr="004E0431" w:rsidRDefault="00391D46" w:rsidP="00475FA2">
            <w:pPr>
              <w:spacing w:before="120" w:line="276" w:lineRule="auto"/>
              <w:contextualSpacing/>
              <w:jc w:val="center"/>
              <w:rPr>
                <w:sz w:val="20"/>
                <w:szCs w:val="20"/>
              </w:rPr>
            </w:pPr>
            <w:r w:rsidRPr="004E0431">
              <w:rPr>
                <w:rFonts w:eastAsia="Arial"/>
                <w:sz w:val="20"/>
                <w:szCs w:val="20"/>
              </w:rPr>
              <w:t>Valid Percent</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bottom"/>
          </w:tcPr>
          <w:p w14:paraId="14D1EA67" w14:textId="77777777" w:rsidR="00391D46" w:rsidRPr="004E0431" w:rsidRDefault="00391D46" w:rsidP="00475FA2">
            <w:pPr>
              <w:spacing w:before="120" w:line="276" w:lineRule="auto"/>
              <w:contextualSpacing/>
              <w:jc w:val="center"/>
              <w:rPr>
                <w:sz w:val="20"/>
                <w:szCs w:val="20"/>
              </w:rPr>
            </w:pPr>
            <w:r w:rsidRPr="004E0431">
              <w:rPr>
                <w:rFonts w:eastAsia="Arial"/>
                <w:sz w:val="20"/>
                <w:szCs w:val="20"/>
              </w:rPr>
              <w:t>Cumulative Percent</w:t>
            </w:r>
          </w:p>
        </w:tc>
      </w:tr>
      <w:tr w:rsidR="004E0431" w:rsidRPr="004E0431" w14:paraId="4C7B0F33" w14:textId="77777777" w:rsidTr="00BC2511">
        <w:tc>
          <w:tcPr>
            <w:tcW w:w="833" w:type="dxa"/>
            <w:vMerge w:val="restart"/>
            <w:tcBorders>
              <w:top w:val="single" w:sz="1" w:space="0" w:color="152935"/>
              <w:left w:val="none" w:sz="1" w:space="0" w:color="152935"/>
              <w:bottom w:val="single" w:sz="1" w:space="0" w:color="152935"/>
              <w:right w:val="single" w:sz="4" w:space="0" w:color="auto"/>
            </w:tcBorders>
            <w:shd w:val="clear" w:color="auto" w:fill="auto"/>
          </w:tcPr>
          <w:p w14:paraId="0D3C51E1" w14:textId="77777777" w:rsidR="00391D46" w:rsidRPr="004E0431" w:rsidRDefault="00391D46" w:rsidP="00475FA2">
            <w:pPr>
              <w:spacing w:before="120" w:line="276" w:lineRule="auto"/>
              <w:contextualSpacing/>
              <w:rPr>
                <w:sz w:val="20"/>
                <w:szCs w:val="20"/>
              </w:rPr>
            </w:pPr>
            <w:r w:rsidRPr="004E0431">
              <w:rPr>
                <w:rFonts w:eastAsia="Arial"/>
                <w:sz w:val="20"/>
                <w:szCs w:val="20"/>
              </w:rPr>
              <w:t>Valid</w:t>
            </w:r>
          </w:p>
        </w:tc>
        <w:tc>
          <w:tcPr>
            <w:tcW w:w="2788" w:type="dxa"/>
            <w:tcBorders>
              <w:top w:val="single" w:sz="4" w:space="0" w:color="auto"/>
              <w:left w:val="single" w:sz="4" w:space="0" w:color="auto"/>
              <w:bottom w:val="single" w:sz="4" w:space="0" w:color="auto"/>
              <w:right w:val="single" w:sz="4" w:space="0" w:color="auto"/>
            </w:tcBorders>
            <w:shd w:val="clear" w:color="auto" w:fill="auto"/>
          </w:tcPr>
          <w:p w14:paraId="5E1DE267" w14:textId="77777777" w:rsidR="00391D46" w:rsidRPr="004E0431" w:rsidRDefault="00391D46" w:rsidP="00475FA2">
            <w:pPr>
              <w:spacing w:before="120" w:line="276" w:lineRule="auto"/>
              <w:contextualSpacing/>
              <w:rPr>
                <w:sz w:val="20"/>
                <w:szCs w:val="20"/>
              </w:rPr>
            </w:pPr>
            <w:r w:rsidRPr="004E0431">
              <w:rPr>
                <w:rFonts w:eastAsia="Arial"/>
                <w:sz w:val="20"/>
                <w:szCs w:val="20"/>
              </w:rPr>
              <w:t>Expected Returns</w:t>
            </w:r>
          </w:p>
        </w:tc>
        <w:tc>
          <w:tcPr>
            <w:tcW w:w="1207" w:type="dxa"/>
            <w:tcBorders>
              <w:top w:val="single" w:sz="4" w:space="0" w:color="auto"/>
              <w:left w:val="single" w:sz="4" w:space="0" w:color="auto"/>
              <w:bottom w:val="single" w:sz="4" w:space="0" w:color="auto"/>
              <w:right w:val="single" w:sz="4" w:space="0" w:color="auto"/>
            </w:tcBorders>
            <w:shd w:val="clear" w:color="auto" w:fill="auto"/>
          </w:tcPr>
          <w:p w14:paraId="3B837611" w14:textId="77777777" w:rsidR="00391D46" w:rsidRPr="004E0431" w:rsidRDefault="00391D46" w:rsidP="00BC2511">
            <w:pPr>
              <w:spacing w:before="120" w:line="276" w:lineRule="auto"/>
              <w:contextualSpacing/>
              <w:jc w:val="center"/>
              <w:rPr>
                <w:sz w:val="20"/>
                <w:szCs w:val="20"/>
              </w:rPr>
            </w:pPr>
            <w:r w:rsidRPr="004E0431">
              <w:rPr>
                <w:rFonts w:eastAsia="Arial"/>
                <w:sz w:val="20"/>
                <w:szCs w:val="20"/>
              </w:rPr>
              <w:t>78</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3D552C30" w14:textId="77777777" w:rsidR="00391D46" w:rsidRPr="004E0431" w:rsidRDefault="00391D46" w:rsidP="00BC2511">
            <w:pPr>
              <w:spacing w:before="120" w:line="276" w:lineRule="auto"/>
              <w:contextualSpacing/>
              <w:jc w:val="center"/>
              <w:rPr>
                <w:sz w:val="20"/>
                <w:szCs w:val="20"/>
              </w:rPr>
            </w:pPr>
            <w:r w:rsidRPr="004E0431">
              <w:rPr>
                <w:rFonts w:eastAsia="Arial"/>
                <w:sz w:val="20"/>
                <w:szCs w:val="20"/>
              </w:rPr>
              <w:t>39.0</w:t>
            </w:r>
          </w:p>
        </w:tc>
        <w:tc>
          <w:tcPr>
            <w:tcW w:w="1462" w:type="dxa"/>
            <w:tcBorders>
              <w:top w:val="single" w:sz="4" w:space="0" w:color="auto"/>
              <w:left w:val="single" w:sz="4" w:space="0" w:color="auto"/>
              <w:bottom w:val="single" w:sz="4" w:space="0" w:color="auto"/>
              <w:right w:val="single" w:sz="4" w:space="0" w:color="auto"/>
            </w:tcBorders>
            <w:shd w:val="clear" w:color="auto" w:fill="auto"/>
          </w:tcPr>
          <w:p w14:paraId="078D0841" w14:textId="77777777" w:rsidR="00391D46" w:rsidRPr="004E0431" w:rsidRDefault="00391D46" w:rsidP="00BC2511">
            <w:pPr>
              <w:spacing w:before="120" w:line="276" w:lineRule="auto"/>
              <w:contextualSpacing/>
              <w:jc w:val="center"/>
              <w:rPr>
                <w:sz w:val="20"/>
                <w:szCs w:val="20"/>
              </w:rPr>
            </w:pPr>
            <w:r w:rsidRPr="004E0431">
              <w:rPr>
                <w:rFonts w:eastAsia="Arial"/>
                <w:sz w:val="20"/>
                <w:szCs w:val="20"/>
              </w:rPr>
              <w:t>39.0</w:t>
            </w:r>
          </w:p>
        </w:tc>
        <w:tc>
          <w:tcPr>
            <w:tcW w:w="1666" w:type="dxa"/>
            <w:tcBorders>
              <w:top w:val="single" w:sz="4" w:space="0" w:color="auto"/>
              <w:left w:val="single" w:sz="4" w:space="0" w:color="auto"/>
              <w:bottom w:val="single" w:sz="4" w:space="0" w:color="auto"/>
              <w:right w:val="single" w:sz="4" w:space="0" w:color="auto"/>
            </w:tcBorders>
            <w:shd w:val="clear" w:color="auto" w:fill="auto"/>
          </w:tcPr>
          <w:p w14:paraId="48825EC9" w14:textId="77777777" w:rsidR="00391D46" w:rsidRPr="004E0431" w:rsidRDefault="00391D46" w:rsidP="00BC2511">
            <w:pPr>
              <w:spacing w:before="120" w:line="276" w:lineRule="auto"/>
              <w:contextualSpacing/>
              <w:jc w:val="center"/>
              <w:rPr>
                <w:sz w:val="20"/>
                <w:szCs w:val="20"/>
              </w:rPr>
            </w:pPr>
            <w:r w:rsidRPr="004E0431">
              <w:rPr>
                <w:rFonts w:eastAsia="Arial"/>
                <w:sz w:val="20"/>
                <w:szCs w:val="20"/>
              </w:rPr>
              <w:t>39.0</w:t>
            </w:r>
          </w:p>
        </w:tc>
      </w:tr>
      <w:tr w:rsidR="004E0431" w:rsidRPr="004E0431" w14:paraId="00C36C87" w14:textId="77777777" w:rsidTr="00BC2511">
        <w:tc>
          <w:tcPr>
            <w:tcW w:w="833" w:type="dxa"/>
            <w:vMerge/>
            <w:tcBorders>
              <w:top w:val="single" w:sz="1" w:space="0" w:color="152935"/>
              <w:left w:val="none" w:sz="1" w:space="0" w:color="152935"/>
              <w:bottom w:val="single" w:sz="1" w:space="0" w:color="152935"/>
              <w:right w:val="single" w:sz="4" w:space="0" w:color="auto"/>
            </w:tcBorders>
            <w:shd w:val="clear" w:color="auto" w:fill="auto"/>
          </w:tcPr>
          <w:p w14:paraId="2802EAA0" w14:textId="77777777" w:rsidR="00391D46" w:rsidRPr="004E0431" w:rsidRDefault="00391D46" w:rsidP="00475FA2">
            <w:pPr>
              <w:spacing w:before="120" w:line="276" w:lineRule="auto"/>
              <w:contextualSpacing/>
              <w:rPr>
                <w:sz w:val="20"/>
                <w:szCs w:val="20"/>
              </w:rPr>
            </w:pPr>
          </w:p>
        </w:tc>
        <w:tc>
          <w:tcPr>
            <w:tcW w:w="2788" w:type="dxa"/>
            <w:tcBorders>
              <w:top w:val="single" w:sz="4" w:space="0" w:color="auto"/>
              <w:left w:val="single" w:sz="4" w:space="0" w:color="auto"/>
              <w:bottom w:val="single" w:sz="4" w:space="0" w:color="auto"/>
              <w:right w:val="single" w:sz="4" w:space="0" w:color="auto"/>
            </w:tcBorders>
            <w:shd w:val="clear" w:color="auto" w:fill="auto"/>
          </w:tcPr>
          <w:p w14:paraId="12EFC076" w14:textId="77777777" w:rsidR="00391D46" w:rsidRPr="004E0431" w:rsidRDefault="00391D46" w:rsidP="00475FA2">
            <w:pPr>
              <w:spacing w:before="120" w:line="276" w:lineRule="auto"/>
              <w:contextualSpacing/>
              <w:rPr>
                <w:sz w:val="20"/>
                <w:szCs w:val="20"/>
              </w:rPr>
            </w:pPr>
            <w:r w:rsidRPr="004E0431">
              <w:rPr>
                <w:rFonts w:eastAsia="Arial"/>
                <w:sz w:val="20"/>
                <w:szCs w:val="20"/>
              </w:rPr>
              <w:t>Alignment with personal values</w:t>
            </w:r>
          </w:p>
        </w:tc>
        <w:tc>
          <w:tcPr>
            <w:tcW w:w="1207" w:type="dxa"/>
            <w:tcBorders>
              <w:top w:val="single" w:sz="4" w:space="0" w:color="auto"/>
              <w:left w:val="single" w:sz="4" w:space="0" w:color="auto"/>
              <w:bottom w:val="single" w:sz="4" w:space="0" w:color="auto"/>
              <w:right w:val="single" w:sz="4" w:space="0" w:color="auto"/>
            </w:tcBorders>
            <w:shd w:val="clear" w:color="auto" w:fill="auto"/>
          </w:tcPr>
          <w:p w14:paraId="12B73B86" w14:textId="77777777" w:rsidR="00391D46" w:rsidRPr="004E0431" w:rsidRDefault="00391D46" w:rsidP="00BC2511">
            <w:pPr>
              <w:spacing w:before="120" w:line="276" w:lineRule="auto"/>
              <w:contextualSpacing/>
              <w:jc w:val="center"/>
              <w:rPr>
                <w:sz w:val="20"/>
                <w:szCs w:val="20"/>
              </w:rPr>
            </w:pPr>
            <w:r w:rsidRPr="004E0431">
              <w:rPr>
                <w:rFonts w:eastAsia="Arial"/>
                <w:sz w:val="20"/>
                <w:szCs w:val="20"/>
              </w:rPr>
              <w:t>38</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1A733031" w14:textId="77777777" w:rsidR="00391D46" w:rsidRPr="004E0431" w:rsidRDefault="00391D46" w:rsidP="00BC2511">
            <w:pPr>
              <w:spacing w:before="120" w:line="276" w:lineRule="auto"/>
              <w:contextualSpacing/>
              <w:jc w:val="center"/>
              <w:rPr>
                <w:sz w:val="20"/>
                <w:szCs w:val="20"/>
              </w:rPr>
            </w:pPr>
            <w:r w:rsidRPr="004E0431">
              <w:rPr>
                <w:rFonts w:eastAsia="Arial"/>
                <w:sz w:val="20"/>
                <w:szCs w:val="20"/>
              </w:rPr>
              <w:t>19.0</w:t>
            </w:r>
          </w:p>
        </w:tc>
        <w:tc>
          <w:tcPr>
            <w:tcW w:w="1462" w:type="dxa"/>
            <w:tcBorders>
              <w:top w:val="single" w:sz="4" w:space="0" w:color="auto"/>
              <w:left w:val="single" w:sz="4" w:space="0" w:color="auto"/>
              <w:bottom w:val="single" w:sz="4" w:space="0" w:color="auto"/>
              <w:right w:val="single" w:sz="4" w:space="0" w:color="auto"/>
            </w:tcBorders>
            <w:shd w:val="clear" w:color="auto" w:fill="auto"/>
          </w:tcPr>
          <w:p w14:paraId="500C773B" w14:textId="77777777" w:rsidR="00391D46" w:rsidRPr="004E0431" w:rsidRDefault="00391D46" w:rsidP="00BC2511">
            <w:pPr>
              <w:spacing w:before="120" w:line="276" w:lineRule="auto"/>
              <w:contextualSpacing/>
              <w:jc w:val="center"/>
              <w:rPr>
                <w:sz w:val="20"/>
                <w:szCs w:val="20"/>
              </w:rPr>
            </w:pPr>
            <w:r w:rsidRPr="004E0431">
              <w:rPr>
                <w:rFonts w:eastAsia="Arial"/>
                <w:sz w:val="20"/>
                <w:szCs w:val="20"/>
              </w:rPr>
              <w:t>19.0</w:t>
            </w:r>
          </w:p>
        </w:tc>
        <w:tc>
          <w:tcPr>
            <w:tcW w:w="1666" w:type="dxa"/>
            <w:tcBorders>
              <w:top w:val="single" w:sz="4" w:space="0" w:color="auto"/>
              <w:left w:val="single" w:sz="4" w:space="0" w:color="auto"/>
              <w:bottom w:val="single" w:sz="4" w:space="0" w:color="auto"/>
              <w:right w:val="single" w:sz="4" w:space="0" w:color="auto"/>
            </w:tcBorders>
            <w:shd w:val="clear" w:color="auto" w:fill="auto"/>
          </w:tcPr>
          <w:p w14:paraId="0946EB74" w14:textId="77777777" w:rsidR="00391D46" w:rsidRPr="004E0431" w:rsidRDefault="00391D46" w:rsidP="00BC2511">
            <w:pPr>
              <w:spacing w:before="120" w:line="276" w:lineRule="auto"/>
              <w:contextualSpacing/>
              <w:jc w:val="center"/>
              <w:rPr>
                <w:sz w:val="20"/>
                <w:szCs w:val="20"/>
              </w:rPr>
            </w:pPr>
            <w:r w:rsidRPr="004E0431">
              <w:rPr>
                <w:rFonts w:eastAsia="Arial"/>
                <w:sz w:val="20"/>
                <w:szCs w:val="20"/>
              </w:rPr>
              <w:t>58.0</w:t>
            </w:r>
          </w:p>
        </w:tc>
      </w:tr>
      <w:tr w:rsidR="004E0431" w:rsidRPr="004E0431" w14:paraId="23794421" w14:textId="77777777" w:rsidTr="00BC2511">
        <w:tc>
          <w:tcPr>
            <w:tcW w:w="833" w:type="dxa"/>
            <w:vMerge/>
            <w:tcBorders>
              <w:top w:val="single" w:sz="1" w:space="0" w:color="152935"/>
              <w:left w:val="none" w:sz="1" w:space="0" w:color="152935"/>
              <w:bottom w:val="single" w:sz="1" w:space="0" w:color="152935"/>
              <w:right w:val="single" w:sz="4" w:space="0" w:color="auto"/>
            </w:tcBorders>
            <w:shd w:val="clear" w:color="auto" w:fill="auto"/>
          </w:tcPr>
          <w:p w14:paraId="64273109" w14:textId="77777777" w:rsidR="00391D46" w:rsidRPr="004E0431" w:rsidRDefault="00391D46" w:rsidP="00475FA2">
            <w:pPr>
              <w:spacing w:before="120" w:line="276" w:lineRule="auto"/>
              <w:contextualSpacing/>
              <w:rPr>
                <w:sz w:val="20"/>
                <w:szCs w:val="20"/>
              </w:rPr>
            </w:pPr>
          </w:p>
        </w:tc>
        <w:tc>
          <w:tcPr>
            <w:tcW w:w="2788" w:type="dxa"/>
            <w:tcBorders>
              <w:top w:val="single" w:sz="4" w:space="0" w:color="auto"/>
              <w:left w:val="single" w:sz="4" w:space="0" w:color="auto"/>
              <w:bottom w:val="single" w:sz="4" w:space="0" w:color="auto"/>
              <w:right w:val="single" w:sz="4" w:space="0" w:color="auto"/>
            </w:tcBorders>
            <w:shd w:val="clear" w:color="auto" w:fill="auto"/>
          </w:tcPr>
          <w:p w14:paraId="4E9116BD" w14:textId="77777777" w:rsidR="00391D46" w:rsidRPr="004E0431" w:rsidRDefault="00391D46" w:rsidP="00475FA2">
            <w:pPr>
              <w:spacing w:before="120" w:line="276" w:lineRule="auto"/>
              <w:contextualSpacing/>
              <w:rPr>
                <w:sz w:val="20"/>
                <w:szCs w:val="20"/>
              </w:rPr>
            </w:pPr>
            <w:r w:rsidRPr="004E0431">
              <w:rPr>
                <w:rFonts w:eastAsia="Arial"/>
                <w:sz w:val="20"/>
                <w:szCs w:val="20"/>
              </w:rPr>
              <w:t>Risk Management</w:t>
            </w:r>
          </w:p>
        </w:tc>
        <w:tc>
          <w:tcPr>
            <w:tcW w:w="1207" w:type="dxa"/>
            <w:tcBorders>
              <w:top w:val="single" w:sz="4" w:space="0" w:color="auto"/>
              <w:left w:val="single" w:sz="4" w:space="0" w:color="auto"/>
              <w:bottom w:val="single" w:sz="4" w:space="0" w:color="auto"/>
              <w:right w:val="single" w:sz="4" w:space="0" w:color="auto"/>
            </w:tcBorders>
            <w:shd w:val="clear" w:color="auto" w:fill="auto"/>
          </w:tcPr>
          <w:p w14:paraId="2F222841" w14:textId="77777777" w:rsidR="00391D46" w:rsidRPr="004E0431" w:rsidRDefault="00391D46" w:rsidP="00BC2511">
            <w:pPr>
              <w:spacing w:before="120" w:line="276" w:lineRule="auto"/>
              <w:contextualSpacing/>
              <w:jc w:val="center"/>
              <w:rPr>
                <w:sz w:val="20"/>
                <w:szCs w:val="20"/>
              </w:rPr>
            </w:pPr>
            <w:r w:rsidRPr="004E0431">
              <w:rPr>
                <w:rFonts w:eastAsia="Arial"/>
                <w:sz w:val="20"/>
                <w:szCs w:val="20"/>
              </w:rPr>
              <w:t>58</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4C6F060D" w14:textId="77777777" w:rsidR="00391D46" w:rsidRPr="004E0431" w:rsidRDefault="00391D46" w:rsidP="00BC2511">
            <w:pPr>
              <w:spacing w:before="120" w:line="276" w:lineRule="auto"/>
              <w:contextualSpacing/>
              <w:jc w:val="center"/>
              <w:rPr>
                <w:sz w:val="20"/>
                <w:szCs w:val="20"/>
              </w:rPr>
            </w:pPr>
            <w:r w:rsidRPr="004E0431">
              <w:rPr>
                <w:rFonts w:eastAsia="Arial"/>
                <w:sz w:val="20"/>
                <w:szCs w:val="20"/>
              </w:rPr>
              <w:t>29.0</w:t>
            </w:r>
          </w:p>
        </w:tc>
        <w:tc>
          <w:tcPr>
            <w:tcW w:w="1462" w:type="dxa"/>
            <w:tcBorders>
              <w:top w:val="single" w:sz="4" w:space="0" w:color="auto"/>
              <w:left w:val="single" w:sz="4" w:space="0" w:color="auto"/>
              <w:bottom w:val="single" w:sz="4" w:space="0" w:color="auto"/>
              <w:right w:val="single" w:sz="4" w:space="0" w:color="auto"/>
            </w:tcBorders>
            <w:shd w:val="clear" w:color="auto" w:fill="auto"/>
          </w:tcPr>
          <w:p w14:paraId="5A4802A7" w14:textId="77777777" w:rsidR="00391D46" w:rsidRPr="004E0431" w:rsidRDefault="00391D46" w:rsidP="00BC2511">
            <w:pPr>
              <w:spacing w:before="120" w:line="276" w:lineRule="auto"/>
              <w:contextualSpacing/>
              <w:jc w:val="center"/>
              <w:rPr>
                <w:sz w:val="20"/>
                <w:szCs w:val="20"/>
              </w:rPr>
            </w:pPr>
            <w:r w:rsidRPr="004E0431">
              <w:rPr>
                <w:rFonts w:eastAsia="Arial"/>
                <w:sz w:val="20"/>
                <w:szCs w:val="20"/>
              </w:rPr>
              <w:t>29.0</w:t>
            </w:r>
          </w:p>
        </w:tc>
        <w:tc>
          <w:tcPr>
            <w:tcW w:w="1666" w:type="dxa"/>
            <w:tcBorders>
              <w:top w:val="single" w:sz="4" w:space="0" w:color="auto"/>
              <w:left w:val="single" w:sz="4" w:space="0" w:color="auto"/>
              <w:bottom w:val="single" w:sz="4" w:space="0" w:color="auto"/>
              <w:right w:val="single" w:sz="4" w:space="0" w:color="auto"/>
            </w:tcBorders>
            <w:shd w:val="clear" w:color="auto" w:fill="auto"/>
          </w:tcPr>
          <w:p w14:paraId="179AAA05" w14:textId="77777777" w:rsidR="00391D46" w:rsidRPr="004E0431" w:rsidRDefault="00391D46" w:rsidP="00BC2511">
            <w:pPr>
              <w:spacing w:before="120" w:line="276" w:lineRule="auto"/>
              <w:contextualSpacing/>
              <w:jc w:val="center"/>
              <w:rPr>
                <w:sz w:val="20"/>
                <w:szCs w:val="20"/>
              </w:rPr>
            </w:pPr>
            <w:r w:rsidRPr="004E0431">
              <w:rPr>
                <w:rFonts w:eastAsia="Arial"/>
                <w:sz w:val="20"/>
                <w:szCs w:val="20"/>
              </w:rPr>
              <w:t>87.0</w:t>
            </w:r>
          </w:p>
        </w:tc>
      </w:tr>
      <w:tr w:rsidR="004E0431" w:rsidRPr="004E0431" w14:paraId="679447B3" w14:textId="77777777" w:rsidTr="00BC2511">
        <w:tc>
          <w:tcPr>
            <w:tcW w:w="833" w:type="dxa"/>
            <w:vMerge/>
            <w:tcBorders>
              <w:top w:val="single" w:sz="1" w:space="0" w:color="152935"/>
              <w:left w:val="none" w:sz="1" w:space="0" w:color="152935"/>
              <w:bottom w:val="single" w:sz="1" w:space="0" w:color="152935"/>
              <w:right w:val="single" w:sz="4" w:space="0" w:color="auto"/>
            </w:tcBorders>
            <w:shd w:val="clear" w:color="auto" w:fill="auto"/>
          </w:tcPr>
          <w:p w14:paraId="7E37764F" w14:textId="77777777" w:rsidR="00391D46" w:rsidRPr="004E0431" w:rsidRDefault="00391D46" w:rsidP="00475FA2">
            <w:pPr>
              <w:spacing w:before="120" w:line="276" w:lineRule="auto"/>
              <w:contextualSpacing/>
              <w:rPr>
                <w:sz w:val="20"/>
                <w:szCs w:val="20"/>
              </w:rPr>
            </w:pPr>
          </w:p>
        </w:tc>
        <w:tc>
          <w:tcPr>
            <w:tcW w:w="2788" w:type="dxa"/>
            <w:tcBorders>
              <w:top w:val="single" w:sz="4" w:space="0" w:color="auto"/>
              <w:left w:val="single" w:sz="4" w:space="0" w:color="auto"/>
              <w:bottom w:val="single" w:sz="4" w:space="0" w:color="auto"/>
              <w:right w:val="single" w:sz="4" w:space="0" w:color="auto"/>
            </w:tcBorders>
            <w:shd w:val="clear" w:color="auto" w:fill="auto"/>
          </w:tcPr>
          <w:p w14:paraId="30C2AA1D" w14:textId="77777777" w:rsidR="00391D46" w:rsidRPr="004E0431" w:rsidRDefault="00391D46" w:rsidP="00475FA2">
            <w:pPr>
              <w:spacing w:before="120" w:line="276" w:lineRule="auto"/>
              <w:contextualSpacing/>
              <w:rPr>
                <w:sz w:val="20"/>
                <w:szCs w:val="20"/>
              </w:rPr>
            </w:pPr>
            <w:r w:rsidRPr="004E0431">
              <w:rPr>
                <w:rFonts w:eastAsia="Arial"/>
                <w:sz w:val="20"/>
                <w:szCs w:val="20"/>
              </w:rPr>
              <w:t>Regulatory Incentives</w:t>
            </w:r>
          </w:p>
        </w:tc>
        <w:tc>
          <w:tcPr>
            <w:tcW w:w="1207" w:type="dxa"/>
            <w:tcBorders>
              <w:top w:val="single" w:sz="4" w:space="0" w:color="auto"/>
              <w:left w:val="single" w:sz="4" w:space="0" w:color="auto"/>
              <w:bottom w:val="single" w:sz="4" w:space="0" w:color="auto"/>
              <w:right w:val="single" w:sz="4" w:space="0" w:color="auto"/>
            </w:tcBorders>
            <w:shd w:val="clear" w:color="auto" w:fill="auto"/>
          </w:tcPr>
          <w:p w14:paraId="3704E64A" w14:textId="77777777" w:rsidR="00391D46" w:rsidRPr="004E0431" w:rsidRDefault="00391D46" w:rsidP="00BC2511">
            <w:pPr>
              <w:spacing w:before="120" w:line="276" w:lineRule="auto"/>
              <w:contextualSpacing/>
              <w:jc w:val="center"/>
              <w:rPr>
                <w:sz w:val="20"/>
                <w:szCs w:val="20"/>
              </w:rPr>
            </w:pPr>
            <w:r w:rsidRPr="004E0431">
              <w:rPr>
                <w:rFonts w:eastAsia="Arial"/>
                <w:sz w:val="20"/>
                <w:szCs w:val="20"/>
              </w:rPr>
              <w:t>10</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520370DC" w14:textId="77777777" w:rsidR="00391D46" w:rsidRPr="004E0431" w:rsidRDefault="00391D46" w:rsidP="00BC2511">
            <w:pPr>
              <w:spacing w:before="120" w:line="276" w:lineRule="auto"/>
              <w:contextualSpacing/>
              <w:jc w:val="center"/>
              <w:rPr>
                <w:sz w:val="20"/>
                <w:szCs w:val="20"/>
              </w:rPr>
            </w:pPr>
            <w:r w:rsidRPr="004E0431">
              <w:rPr>
                <w:rFonts w:eastAsia="Arial"/>
                <w:sz w:val="20"/>
                <w:szCs w:val="20"/>
              </w:rPr>
              <w:t>5.0</w:t>
            </w:r>
          </w:p>
        </w:tc>
        <w:tc>
          <w:tcPr>
            <w:tcW w:w="1462" w:type="dxa"/>
            <w:tcBorders>
              <w:top w:val="single" w:sz="4" w:space="0" w:color="auto"/>
              <w:left w:val="single" w:sz="4" w:space="0" w:color="auto"/>
              <w:bottom w:val="single" w:sz="4" w:space="0" w:color="auto"/>
              <w:right w:val="single" w:sz="4" w:space="0" w:color="auto"/>
            </w:tcBorders>
            <w:shd w:val="clear" w:color="auto" w:fill="auto"/>
          </w:tcPr>
          <w:p w14:paraId="690D88CD" w14:textId="77777777" w:rsidR="00391D46" w:rsidRPr="004E0431" w:rsidRDefault="00391D46" w:rsidP="00BC2511">
            <w:pPr>
              <w:spacing w:before="120" w:line="276" w:lineRule="auto"/>
              <w:contextualSpacing/>
              <w:jc w:val="center"/>
              <w:rPr>
                <w:sz w:val="20"/>
                <w:szCs w:val="20"/>
              </w:rPr>
            </w:pPr>
            <w:r w:rsidRPr="004E0431">
              <w:rPr>
                <w:rFonts w:eastAsia="Arial"/>
                <w:sz w:val="20"/>
                <w:szCs w:val="20"/>
              </w:rPr>
              <w:t>5.0</w:t>
            </w:r>
          </w:p>
        </w:tc>
        <w:tc>
          <w:tcPr>
            <w:tcW w:w="1666" w:type="dxa"/>
            <w:tcBorders>
              <w:top w:val="single" w:sz="4" w:space="0" w:color="auto"/>
              <w:left w:val="single" w:sz="4" w:space="0" w:color="auto"/>
              <w:bottom w:val="single" w:sz="4" w:space="0" w:color="auto"/>
              <w:right w:val="single" w:sz="4" w:space="0" w:color="auto"/>
            </w:tcBorders>
            <w:shd w:val="clear" w:color="auto" w:fill="auto"/>
          </w:tcPr>
          <w:p w14:paraId="47461B5B" w14:textId="77777777" w:rsidR="00391D46" w:rsidRPr="004E0431" w:rsidRDefault="00391D46" w:rsidP="00BC2511">
            <w:pPr>
              <w:spacing w:before="120" w:line="276" w:lineRule="auto"/>
              <w:contextualSpacing/>
              <w:jc w:val="center"/>
              <w:rPr>
                <w:sz w:val="20"/>
                <w:szCs w:val="20"/>
              </w:rPr>
            </w:pPr>
            <w:r w:rsidRPr="004E0431">
              <w:rPr>
                <w:rFonts w:eastAsia="Arial"/>
                <w:sz w:val="20"/>
                <w:szCs w:val="20"/>
              </w:rPr>
              <w:t>92.0</w:t>
            </w:r>
          </w:p>
        </w:tc>
      </w:tr>
      <w:tr w:rsidR="004E0431" w:rsidRPr="004E0431" w14:paraId="7A188D93" w14:textId="77777777" w:rsidTr="00BC2511">
        <w:tc>
          <w:tcPr>
            <w:tcW w:w="833" w:type="dxa"/>
            <w:vMerge/>
            <w:tcBorders>
              <w:top w:val="single" w:sz="1" w:space="0" w:color="152935"/>
              <w:left w:val="none" w:sz="1" w:space="0" w:color="152935"/>
              <w:bottom w:val="single" w:sz="1" w:space="0" w:color="152935"/>
              <w:right w:val="single" w:sz="4" w:space="0" w:color="auto"/>
            </w:tcBorders>
            <w:shd w:val="clear" w:color="auto" w:fill="auto"/>
          </w:tcPr>
          <w:p w14:paraId="3E8F8F78" w14:textId="77777777" w:rsidR="00391D46" w:rsidRPr="004E0431" w:rsidRDefault="00391D46" w:rsidP="00475FA2">
            <w:pPr>
              <w:spacing w:before="120" w:line="276" w:lineRule="auto"/>
              <w:contextualSpacing/>
              <w:rPr>
                <w:sz w:val="20"/>
                <w:szCs w:val="20"/>
              </w:rPr>
            </w:pPr>
          </w:p>
        </w:tc>
        <w:tc>
          <w:tcPr>
            <w:tcW w:w="2788" w:type="dxa"/>
            <w:tcBorders>
              <w:top w:val="single" w:sz="4" w:space="0" w:color="auto"/>
              <w:left w:val="single" w:sz="4" w:space="0" w:color="auto"/>
              <w:bottom w:val="single" w:sz="4" w:space="0" w:color="auto"/>
              <w:right w:val="single" w:sz="4" w:space="0" w:color="auto"/>
            </w:tcBorders>
            <w:shd w:val="clear" w:color="auto" w:fill="auto"/>
          </w:tcPr>
          <w:p w14:paraId="247FC896" w14:textId="77777777" w:rsidR="00391D46" w:rsidRPr="004E0431" w:rsidRDefault="00391D46" w:rsidP="00475FA2">
            <w:pPr>
              <w:spacing w:before="120" w:line="276" w:lineRule="auto"/>
              <w:contextualSpacing/>
              <w:rPr>
                <w:sz w:val="20"/>
                <w:szCs w:val="20"/>
              </w:rPr>
            </w:pPr>
            <w:r w:rsidRPr="004E0431">
              <w:rPr>
                <w:rFonts w:eastAsia="Arial"/>
                <w:sz w:val="20"/>
                <w:szCs w:val="20"/>
              </w:rPr>
              <w:t>Peer Influence</w:t>
            </w:r>
          </w:p>
        </w:tc>
        <w:tc>
          <w:tcPr>
            <w:tcW w:w="1207" w:type="dxa"/>
            <w:tcBorders>
              <w:top w:val="single" w:sz="4" w:space="0" w:color="auto"/>
              <w:left w:val="single" w:sz="4" w:space="0" w:color="auto"/>
              <w:bottom w:val="single" w:sz="4" w:space="0" w:color="auto"/>
              <w:right w:val="single" w:sz="4" w:space="0" w:color="auto"/>
            </w:tcBorders>
            <w:shd w:val="clear" w:color="auto" w:fill="auto"/>
          </w:tcPr>
          <w:p w14:paraId="553EDBBD" w14:textId="77777777" w:rsidR="00391D46" w:rsidRPr="004E0431" w:rsidRDefault="00391D46" w:rsidP="00BC2511">
            <w:pPr>
              <w:spacing w:before="120" w:line="276" w:lineRule="auto"/>
              <w:contextualSpacing/>
              <w:jc w:val="center"/>
              <w:rPr>
                <w:sz w:val="20"/>
                <w:szCs w:val="20"/>
              </w:rPr>
            </w:pPr>
            <w:r w:rsidRPr="004E0431">
              <w:rPr>
                <w:rFonts w:eastAsia="Arial"/>
                <w:sz w:val="20"/>
                <w:szCs w:val="20"/>
              </w:rPr>
              <w:t>16</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6780B2CE" w14:textId="77777777" w:rsidR="00391D46" w:rsidRPr="004E0431" w:rsidRDefault="00391D46" w:rsidP="00BC2511">
            <w:pPr>
              <w:spacing w:before="120" w:line="276" w:lineRule="auto"/>
              <w:contextualSpacing/>
              <w:jc w:val="center"/>
              <w:rPr>
                <w:sz w:val="20"/>
                <w:szCs w:val="20"/>
              </w:rPr>
            </w:pPr>
            <w:r w:rsidRPr="004E0431">
              <w:rPr>
                <w:rFonts w:eastAsia="Arial"/>
                <w:sz w:val="20"/>
                <w:szCs w:val="20"/>
              </w:rPr>
              <w:t>8.0</w:t>
            </w:r>
          </w:p>
        </w:tc>
        <w:tc>
          <w:tcPr>
            <w:tcW w:w="1462" w:type="dxa"/>
            <w:tcBorders>
              <w:top w:val="single" w:sz="4" w:space="0" w:color="auto"/>
              <w:left w:val="single" w:sz="4" w:space="0" w:color="auto"/>
              <w:bottom w:val="single" w:sz="4" w:space="0" w:color="auto"/>
              <w:right w:val="single" w:sz="4" w:space="0" w:color="auto"/>
            </w:tcBorders>
            <w:shd w:val="clear" w:color="auto" w:fill="auto"/>
          </w:tcPr>
          <w:p w14:paraId="4F587E2C" w14:textId="77777777" w:rsidR="00391D46" w:rsidRPr="004E0431" w:rsidRDefault="00391D46" w:rsidP="00BC2511">
            <w:pPr>
              <w:spacing w:before="120" w:line="276" w:lineRule="auto"/>
              <w:contextualSpacing/>
              <w:jc w:val="center"/>
              <w:rPr>
                <w:sz w:val="20"/>
                <w:szCs w:val="20"/>
              </w:rPr>
            </w:pPr>
            <w:r w:rsidRPr="004E0431">
              <w:rPr>
                <w:rFonts w:eastAsia="Arial"/>
                <w:sz w:val="20"/>
                <w:szCs w:val="20"/>
              </w:rPr>
              <w:t>8.0</w:t>
            </w:r>
          </w:p>
        </w:tc>
        <w:tc>
          <w:tcPr>
            <w:tcW w:w="1666" w:type="dxa"/>
            <w:tcBorders>
              <w:top w:val="single" w:sz="4" w:space="0" w:color="auto"/>
              <w:left w:val="single" w:sz="4" w:space="0" w:color="auto"/>
              <w:bottom w:val="single" w:sz="4" w:space="0" w:color="auto"/>
              <w:right w:val="single" w:sz="4" w:space="0" w:color="auto"/>
            </w:tcBorders>
            <w:shd w:val="clear" w:color="auto" w:fill="auto"/>
          </w:tcPr>
          <w:p w14:paraId="10ED490F" w14:textId="77777777" w:rsidR="00391D46" w:rsidRPr="004E0431" w:rsidRDefault="00391D46" w:rsidP="00BC2511">
            <w:pPr>
              <w:spacing w:before="120" w:line="276" w:lineRule="auto"/>
              <w:contextualSpacing/>
              <w:jc w:val="center"/>
              <w:rPr>
                <w:sz w:val="20"/>
                <w:szCs w:val="20"/>
              </w:rPr>
            </w:pPr>
            <w:r w:rsidRPr="004E0431">
              <w:rPr>
                <w:rFonts w:eastAsia="Arial"/>
                <w:sz w:val="20"/>
                <w:szCs w:val="20"/>
              </w:rPr>
              <w:t>100.0</w:t>
            </w:r>
          </w:p>
        </w:tc>
      </w:tr>
      <w:tr w:rsidR="004E0431" w:rsidRPr="004E0431" w14:paraId="5B8CA087" w14:textId="77777777" w:rsidTr="00BC2511">
        <w:tc>
          <w:tcPr>
            <w:tcW w:w="833" w:type="dxa"/>
            <w:vMerge/>
            <w:tcBorders>
              <w:top w:val="single" w:sz="1" w:space="0" w:color="152935"/>
              <w:left w:val="none" w:sz="1" w:space="0" w:color="152935"/>
              <w:bottom w:val="single" w:sz="1" w:space="0" w:color="152935"/>
              <w:right w:val="single" w:sz="4" w:space="0" w:color="auto"/>
            </w:tcBorders>
            <w:shd w:val="clear" w:color="auto" w:fill="auto"/>
          </w:tcPr>
          <w:p w14:paraId="1AFC4B66" w14:textId="77777777" w:rsidR="00391D46" w:rsidRPr="004E0431" w:rsidRDefault="00391D46" w:rsidP="00475FA2">
            <w:pPr>
              <w:spacing w:before="120" w:line="276" w:lineRule="auto"/>
              <w:contextualSpacing/>
              <w:rPr>
                <w:sz w:val="20"/>
                <w:szCs w:val="20"/>
              </w:rPr>
            </w:pPr>
          </w:p>
        </w:tc>
        <w:tc>
          <w:tcPr>
            <w:tcW w:w="2788" w:type="dxa"/>
            <w:tcBorders>
              <w:top w:val="single" w:sz="4" w:space="0" w:color="auto"/>
              <w:left w:val="single" w:sz="4" w:space="0" w:color="auto"/>
              <w:bottom w:val="single" w:sz="4" w:space="0" w:color="auto"/>
              <w:right w:val="single" w:sz="4" w:space="0" w:color="auto"/>
            </w:tcBorders>
            <w:shd w:val="clear" w:color="auto" w:fill="auto"/>
          </w:tcPr>
          <w:p w14:paraId="5BE5396E" w14:textId="77777777" w:rsidR="00391D46" w:rsidRPr="004E0431" w:rsidRDefault="00391D46" w:rsidP="00475FA2">
            <w:pPr>
              <w:spacing w:before="120" w:line="276" w:lineRule="auto"/>
              <w:contextualSpacing/>
              <w:rPr>
                <w:sz w:val="20"/>
                <w:szCs w:val="20"/>
              </w:rPr>
            </w:pPr>
            <w:r w:rsidRPr="004E0431">
              <w:rPr>
                <w:rFonts w:eastAsia="Arial"/>
                <w:sz w:val="20"/>
                <w:szCs w:val="20"/>
              </w:rPr>
              <w:t>Total</w:t>
            </w:r>
          </w:p>
        </w:tc>
        <w:tc>
          <w:tcPr>
            <w:tcW w:w="1207" w:type="dxa"/>
            <w:tcBorders>
              <w:top w:val="single" w:sz="4" w:space="0" w:color="auto"/>
              <w:left w:val="single" w:sz="4" w:space="0" w:color="auto"/>
              <w:bottom w:val="single" w:sz="4" w:space="0" w:color="auto"/>
              <w:right w:val="single" w:sz="4" w:space="0" w:color="auto"/>
            </w:tcBorders>
            <w:shd w:val="clear" w:color="auto" w:fill="auto"/>
          </w:tcPr>
          <w:p w14:paraId="03D925B4" w14:textId="77777777" w:rsidR="00391D46" w:rsidRPr="004E0431" w:rsidRDefault="00391D46" w:rsidP="00BC2511">
            <w:pPr>
              <w:spacing w:before="120" w:line="276" w:lineRule="auto"/>
              <w:contextualSpacing/>
              <w:jc w:val="center"/>
              <w:rPr>
                <w:sz w:val="20"/>
                <w:szCs w:val="20"/>
              </w:rPr>
            </w:pPr>
            <w:r w:rsidRPr="004E0431">
              <w:rPr>
                <w:rFonts w:eastAsia="Arial"/>
                <w:sz w:val="20"/>
                <w:szCs w:val="20"/>
              </w:rPr>
              <w:t>200</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3C881DB8" w14:textId="77777777" w:rsidR="00391D46" w:rsidRPr="004E0431" w:rsidRDefault="00391D46" w:rsidP="00BC2511">
            <w:pPr>
              <w:spacing w:before="120" w:line="276" w:lineRule="auto"/>
              <w:contextualSpacing/>
              <w:jc w:val="center"/>
              <w:rPr>
                <w:sz w:val="20"/>
                <w:szCs w:val="20"/>
              </w:rPr>
            </w:pPr>
            <w:r w:rsidRPr="004E0431">
              <w:rPr>
                <w:rFonts w:eastAsia="Arial"/>
                <w:sz w:val="20"/>
                <w:szCs w:val="20"/>
              </w:rPr>
              <w:t>100.0</w:t>
            </w:r>
          </w:p>
        </w:tc>
        <w:tc>
          <w:tcPr>
            <w:tcW w:w="1462" w:type="dxa"/>
            <w:tcBorders>
              <w:top w:val="single" w:sz="4" w:space="0" w:color="auto"/>
              <w:left w:val="single" w:sz="4" w:space="0" w:color="auto"/>
              <w:bottom w:val="single" w:sz="4" w:space="0" w:color="auto"/>
              <w:right w:val="single" w:sz="4" w:space="0" w:color="auto"/>
            </w:tcBorders>
            <w:shd w:val="clear" w:color="auto" w:fill="auto"/>
          </w:tcPr>
          <w:p w14:paraId="4CE8DF94" w14:textId="77777777" w:rsidR="00391D46" w:rsidRPr="004E0431" w:rsidRDefault="00391D46" w:rsidP="00BC2511">
            <w:pPr>
              <w:spacing w:before="120" w:line="276" w:lineRule="auto"/>
              <w:contextualSpacing/>
              <w:jc w:val="center"/>
              <w:rPr>
                <w:sz w:val="20"/>
                <w:szCs w:val="20"/>
              </w:rPr>
            </w:pPr>
            <w:r w:rsidRPr="004E0431">
              <w:rPr>
                <w:rFonts w:eastAsia="Arial"/>
                <w:sz w:val="20"/>
                <w:szCs w:val="20"/>
              </w:rPr>
              <w:t>100.0</w:t>
            </w:r>
          </w:p>
        </w:tc>
        <w:tc>
          <w:tcPr>
            <w:tcW w:w="1666" w:type="dxa"/>
            <w:tcBorders>
              <w:top w:val="single" w:sz="4" w:space="0" w:color="auto"/>
              <w:left w:val="single" w:sz="4" w:space="0" w:color="auto"/>
              <w:bottom w:val="single" w:sz="4" w:space="0" w:color="auto"/>
              <w:right w:val="single" w:sz="4" w:space="0" w:color="auto"/>
            </w:tcBorders>
            <w:shd w:val="clear" w:color="auto" w:fill="auto"/>
          </w:tcPr>
          <w:p w14:paraId="1CD61266" w14:textId="77777777" w:rsidR="00391D46" w:rsidRPr="004E0431" w:rsidRDefault="00391D46" w:rsidP="00BC2511">
            <w:pPr>
              <w:spacing w:before="120" w:line="276" w:lineRule="auto"/>
              <w:contextualSpacing/>
              <w:jc w:val="center"/>
              <w:rPr>
                <w:sz w:val="20"/>
                <w:szCs w:val="20"/>
              </w:rPr>
            </w:pPr>
          </w:p>
        </w:tc>
      </w:tr>
    </w:tbl>
    <w:p w14:paraId="7F694A00" w14:textId="07339884" w:rsidR="00391D46" w:rsidRPr="0001291E" w:rsidRDefault="00391D46" w:rsidP="00475FA2">
      <w:pPr>
        <w:spacing w:before="120" w:line="276" w:lineRule="auto"/>
        <w:jc w:val="center"/>
        <w:rPr>
          <w:sz w:val="20"/>
          <w:szCs w:val="20"/>
        </w:rPr>
      </w:pPr>
      <w:r w:rsidRPr="0001291E">
        <w:rPr>
          <w:noProof/>
          <w:sz w:val="20"/>
          <w:szCs w:val="20"/>
          <w:lang w:val="en-IN" w:eastAsia="en-IN"/>
        </w:rPr>
        <w:drawing>
          <wp:inline distT="0" distB="0" distL="0" distR="0" wp14:anchorId="616EBD8B" wp14:editId="230BF0DB">
            <wp:extent cx="4553585" cy="2415540"/>
            <wp:effectExtent l="0" t="0" r="18415" b="3810"/>
            <wp:docPr id="118725142" name="Chart 1">
              <a:extLst xmlns:a="http://schemas.openxmlformats.org/drawingml/2006/main">
                <a:ext uri="{FF2B5EF4-FFF2-40B4-BE49-F238E27FC236}">
                  <a16:creationId xmlns:a16="http://schemas.microsoft.com/office/drawing/2014/main" id="{54ABE41E-2E1D-7C1E-C1CD-02D924D867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199912D" w14:textId="77777777" w:rsidR="00475FA2" w:rsidRDefault="00475FA2" w:rsidP="00475FA2">
      <w:pPr>
        <w:spacing w:before="120" w:line="276" w:lineRule="auto"/>
        <w:rPr>
          <w:b/>
          <w:bCs/>
          <w:sz w:val="20"/>
          <w:szCs w:val="20"/>
        </w:rPr>
        <w:sectPr w:rsidR="00475FA2" w:rsidSect="00475FA2">
          <w:type w:val="continuous"/>
          <w:pgSz w:w="12240" w:h="15840" w:code="1"/>
          <w:pgMar w:top="1440" w:right="1440" w:bottom="1440" w:left="1440" w:header="706" w:footer="706" w:gutter="0"/>
          <w:cols w:space="720"/>
          <w:docGrid w:linePitch="299"/>
        </w:sectPr>
      </w:pPr>
    </w:p>
    <w:p w14:paraId="3160D8C4" w14:textId="77777777" w:rsidR="00391D46" w:rsidRPr="0001291E" w:rsidRDefault="00391D46" w:rsidP="00475FA2">
      <w:pPr>
        <w:spacing w:before="120" w:line="276" w:lineRule="auto"/>
        <w:rPr>
          <w:b/>
          <w:bCs/>
          <w:sz w:val="20"/>
          <w:szCs w:val="20"/>
        </w:rPr>
      </w:pPr>
      <w:r w:rsidRPr="0001291E">
        <w:rPr>
          <w:b/>
          <w:bCs/>
          <w:sz w:val="20"/>
          <w:szCs w:val="20"/>
        </w:rPr>
        <w:t>Interpretation:</w:t>
      </w:r>
    </w:p>
    <w:p w14:paraId="6B68A188" w14:textId="77777777" w:rsidR="00391D46" w:rsidRPr="0001291E" w:rsidRDefault="00391D46" w:rsidP="00475FA2">
      <w:pPr>
        <w:spacing w:before="120" w:line="276" w:lineRule="auto"/>
        <w:jc w:val="both"/>
        <w:rPr>
          <w:sz w:val="20"/>
          <w:szCs w:val="20"/>
        </w:rPr>
      </w:pPr>
      <w:r w:rsidRPr="0001291E">
        <w:rPr>
          <w:sz w:val="20"/>
          <w:szCs w:val="20"/>
        </w:rPr>
        <w:t xml:space="preserve">The table below shows the factors influencing respondents' decisions to invest in ESG-compliant financial products. It is clear that 39% of respondents prioritize expected returns, indicating that financial performance remains the primary driver of ESG investment decisions. A significant 29% consider risk management as a key factor, suggesting that many investors perceive ESG investments as a way to mitigate long-term financial and reputational risks. 19% of respondents invest in ESG products due to </w:t>
      </w:r>
      <w:r w:rsidRPr="0001291E">
        <w:rPr>
          <w:sz w:val="20"/>
          <w:szCs w:val="20"/>
        </w:rPr>
        <w:t>alignment with personal values, reflecting a commitment to ethical and sustainable investing. A smaller share, 8%, are influenced by peer recommendations, showing that social influence plays a role in shaping ESG investment choices. Lastly, 5% consider regulatory incentives, suggesting that government policies and tax benefits have a relatively limited impact on ESG investment decisions. Overall, the data indicates that while financial performance is the dominant factor, risk management and personal values also play a crucial role in driving ESG investment behavior.</w:t>
      </w:r>
    </w:p>
    <w:p w14:paraId="2B63713F" w14:textId="77777777" w:rsidR="00475FA2" w:rsidRDefault="00475FA2" w:rsidP="00475FA2">
      <w:pPr>
        <w:spacing w:before="120" w:line="276" w:lineRule="auto"/>
        <w:jc w:val="center"/>
        <w:rPr>
          <w:rFonts w:eastAsia="Arial"/>
          <w:b/>
          <w:color w:val="010205"/>
          <w:sz w:val="20"/>
          <w:szCs w:val="20"/>
        </w:rPr>
        <w:sectPr w:rsidR="00475FA2" w:rsidSect="00475FA2">
          <w:type w:val="continuous"/>
          <w:pgSz w:w="12240" w:h="15840" w:code="1"/>
          <w:pgMar w:top="1440" w:right="1440" w:bottom="1440" w:left="1440" w:header="706" w:footer="706" w:gutter="0"/>
          <w:cols w:num="2" w:space="720"/>
          <w:docGrid w:linePitch="299"/>
        </w:sectPr>
      </w:pPr>
    </w:p>
    <w:p w14:paraId="42644FE2" w14:textId="77777777" w:rsidR="00493138" w:rsidRDefault="00493138" w:rsidP="00475FA2">
      <w:pPr>
        <w:spacing w:before="120" w:line="276" w:lineRule="auto"/>
        <w:jc w:val="center"/>
        <w:rPr>
          <w:rFonts w:eastAsia="Arial"/>
          <w:b/>
          <w:color w:val="010205"/>
          <w:sz w:val="20"/>
          <w:szCs w:val="20"/>
        </w:rPr>
      </w:pPr>
    </w:p>
    <w:p w14:paraId="089F65CA" w14:textId="77777777" w:rsidR="00493138" w:rsidRDefault="00493138" w:rsidP="00475FA2">
      <w:pPr>
        <w:spacing w:before="120" w:line="276" w:lineRule="auto"/>
        <w:jc w:val="center"/>
        <w:rPr>
          <w:rFonts w:eastAsia="Arial"/>
          <w:b/>
          <w:color w:val="010205"/>
          <w:sz w:val="20"/>
          <w:szCs w:val="20"/>
        </w:rPr>
      </w:pPr>
    </w:p>
    <w:p w14:paraId="28B5CA12" w14:textId="77777777" w:rsidR="00493138" w:rsidRDefault="00493138" w:rsidP="00475FA2">
      <w:pPr>
        <w:spacing w:before="120" w:line="276" w:lineRule="auto"/>
        <w:jc w:val="center"/>
        <w:rPr>
          <w:rFonts w:eastAsia="Arial"/>
          <w:b/>
          <w:color w:val="010205"/>
          <w:sz w:val="20"/>
          <w:szCs w:val="20"/>
        </w:rPr>
      </w:pPr>
    </w:p>
    <w:p w14:paraId="1CF763FF" w14:textId="77777777" w:rsidR="00493138" w:rsidRDefault="00493138" w:rsidP="00475FA2">
      <w:pPr>
        <w:spacing w:before="120" w:line="276" w:lineRule="auto"/>
        <w:jc w:val="center"/>
        <w:rPr>
          <w:rFonts w:eastAsia="Arial"/>
          <w:b/>
          <w:color w:val="010205"/>
          <w:sz w:val="20"/>
          <w:szCs w:val="20"/>
        </w:rPr>
      </w:pPr>
    </w:p>
    <w:p w14:paraId="6542FA02" w14:textId="6115D0C8" w:rsidR="00391D46" w:rsidRPr="0001291E" w:rsidRDefault="00391D46" w:rsidP="00475FA2">
      <w:pPr>
        <w:spacing w:before="120" w:line="276" w:lineRule="auto"/>
        <w:jc w:val="center"/>
        <w:rPr>
          <w:rFonts w:eastAsia="Arial"/>
          <w:b/>
          <w:color w:val="010205"/>
          <w:sz w:val="20"/>
          <w:szCs w:val="20"/>
        </w:rPr>
      </w:pPr>
      <w:r w:rsidRPr="0001291E">
        <w:rPr>
          <w:rFonts w:eastAsia="Arial"/>
          <w:b/>
          <w:color w:val="010205"/>
          <w:sz w:val="20"/>
          <w:szCs w:val="20"/>
        </w:rPr>
        <w:lastRenderedPageBreak/>
        <w:t>What prevents you from investing in ESG products?</w:t>
      </w:r>
    </w:p>
    <w:tbl>
      <w:tblPr>
        <w:tblW w:w="0" w:type="auto"/>
        <w:jc w:val="center"/>
        <w:tblLayout w:type="fixed"/>
        <w:tblCellMar>
          <w:left w:w="10" w:type="dxa"/>
          <w:right w:w="10" w:type="dxa"/>
        </w:tblCellMar>
        <w:tblLook w:val="04A0" w:firstRow="1" w:lastRow="0" w:firstColumn="1" w:lastColumn="0" w:noHBand="0" w:noVBand="1"/>
      </w:tblPr>
      <w:tblGrid>
        <w:gridCol w:w="833"/>
        <w:gridCol w:w="2788"/>
        <w:gridCol w:w="1207"/>
        <w:gridCol w:w="1156"/>
        <w:gridCol w:w="1462"/>
        <w:gridCol w:w="1666"/>
      </w:tblGrid>
      <w:tr w:rsidR="004E0431" w:rsidRPr="004E0431" w14:paraId="068A0D04" w14:textId="77777777" w:rsidTr="00493138">
        <w:trPr>
          <w:jc w:val="center"/>
        </w:trPr>
        <w:tc>
          <w:tcPr>
            <w:tcW w:w="362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1906B3F" w14:textId="77777777" w:rsidR="00CD5BAE" w:rsidRPr="004E0431" w:rsidRDefault="00CD5BAE" w:rsidP="00475FA2">
            <w:pPr>
              <w:spacing w:before="120" w:line="276" w:lineRule="auto"/>
              <w:contextualSpacing/>
              <w:rPr>
                <w:sz w:val="20"/>
                <w:szCs w:val="20"/>
              </w:rPr>
            </w:pPr>
          </w:p>
        </w:tc>
        <w:tc>
          <w:tcPr>
            <w:tcW w:w="1207" w:type="dxa"/>
            <w:tcBorders>
              <w:top w:val="single" w:sz="4" w:space="0" w:color="auto"/>
              <w:left w:val="single" w:sz="4" w:space="0" w:color="auto"/>
              <w:bottom w:val="single" w:sz="4" w:space="0" w:color="auto"/>
              <w:right w:val="single" w:sz="4" w:space="0" w:color="auto"/>
            </w:tcBorders>
            <w:shd w:val="clear" w:color="auto" w:fill="auto"/>
            <w:vAlign w:val="bottom"/>
          </w:tcPr>
          <w:p w14:paraId="1C6F0397" w14:textId="77777777" w:rsidR="00CD5BAE" w:rsidRPr="004E0431" w:rsidRDefault="00CD5BAE" w:rsidP="00475FA2">
            <w:pPr>
              <w:spacing w:before="120" w:line="276" w:lineRule="auto"/>
              <w:contextualSpacing/>
              <w:jc w:val="center"/>
              <w:rPr>
                <w:sz w:val="20"/>
                <w:szCs w:val="20"/>
              </w:rPr>
            </w:pPr>
            <w:r w:rsidRPr="004E0431">
              <w:rPr>
                <w:rFonts w:eastAsia="Arial"/>
                <w:sz w:val="20"/>
                <w:szCs w:val="20"/>
              </w:rPr>
              <w:t>Frequency</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bottom"/>
          </w:tcPr>
          <w:p w14:paraId="69E97811" w14:textId="77777777" w:rsidR="00CD5BAE" w:rsidRPr="004E0431" w:rsidRDefault="00CD5BAE" w:rsidP="00475FA2">
            <w:pPr>
              <w:spacing w:before="120" w:line="276" w:lineRule="auto"/>
              <w:contextualSpacing/>
              <w:jc w:val="center"/>
              <w:rPr>
                <w:sz w:val="20"/>
                <w:szCs w:val="20"/>
              </w:rPr>
            </w:pPr>
            <w:r w:rsidRPr="004E0431">
              <w:rPr>
                <w:rFonts w:eastAsia="Arial"/>
                <w:sz w:val="20"/>
                <w:szCs w:val="20"/>
              </w:rPr>
              <w:t>Percent</w:t>
            </w:r>
          </w:p>
        </w:tc>
        <w:tc>
          <w:tcPr>
            <w:tcW w:w="1462" w:type="dxa"/>
            <w:tcBorders>
              <w:top w:val="single" w:sz="4" w:space="0" w:color="auto"/>
              <w:left w:val="single" w:sz="4" w:space="0" w:color="auto"/>
              <w:bottom w:val="single" w:sz="4" w:space="0" w:color="auto"/>
              <w:right w:val="single" w:sz="4" w:space="0" w:color="auto"/>
            </w:tcBorders>
            <w:shd w:val="clear" w:color="auto" w:fill="auto"/>
            <w:vAlign w:val="bottom"/>
          </w:tcPr>
          <w:p w14:paraId="3CB02311" w14:textId="77777777" w:rsidR="00CD5BAE" w:rsidRPr="004E0431" w:rsidRDefault="00CD5BAE" w:rsidP="00475FA2">
            <w:pPr>
              <w:spacing w:before="120" w:line="276" w:lineRule="auto"/>
              <w:contextualSpacing/>
              <w:jc w:val="center"/>
              <w:rPr>
                <w:sz w:val="20"/>
                <w:szCs w:val="20"/>
              </w:rPr>
            </w:pPr>
            <w:r w:rsidRPr="004E0431">
              <w:rPr>
                <w:rFonts w:eastAsia="Arial"/>
                <w:sz w:val="20"/>
                <w:szCs w:val="20"/>
              </w:rPr>
              <w:t>Valid Percent</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bottom"/>
          </w:tcPr>
          <w:p w14:paraId="4C3E2123" w14:textId="77777777" w:rsidR="00CD5BAE" w:rsidRPr="004E0431" w:rsidRDefault="00CD5BAE" w:rsidP="00475FA2">
            <w:pPr>
              <w:spacing w:before="120" w:line="276" w:lineRule="auto"/>
              <w:contextualSpacing/>
              <w:jc w:val="center"/>
              <w:rPr>
                <w:sz w:val="20"/>
                <w:szCs w:val="20"/>
              </w:rPr>
            </w:pPr>
            <w:r w:rsidRPr="004E0431">
              <w:rPr>
                <w:rFonts w:eastAsia="Arial"/>
                <w:sz w:val="20"/>
                <w:szCs w:val="20"/>
              </w:rPr>
              <w:t>Cumulative Percent</w:t>
            </w:r>
          </w:p>
        </w:tc>
      </w:tr>
      <w:tr w:rsidR="004E0431" w:rsidRPr="004E0431" w14:paraId="1E909A31" w14:textId="77777777" w:rsidTr="00493138">
        <w:trPr>
          <w:jc w:val="center"/>
        </w:trPr>
        <w:tc>
          <w:tcPr>
            <w:tcW w:w="833" w:type="dxa"/>
            <w:vMerge w:val="restart"/>
            <w:tcBorders>
              <w:top w:val="single" w:sz="4" w:space="0" w:color="auto"/>
              <w:left w:val="single" w:sz="4" w:space="0" w:color="auto"/>
              <w:bottom w:val="single" w:sz="4" w:space="0" w:color="auto"/>
              <w:right w:val="single" w:sz="4" w:space="0" w:color="auto"/>
            </w:tcBorders>
            <w:shd w:val="clear" w:color="auto" w:fill="auto"/>
          </w:tcPr>
          <w:p w14:paraId="792208FF" w14:textId="77777777" w:rsidR="00CD5BAE" w:rsidRPr="004E0431" w:rsidRDefault="00CD5BAE" w:rsidP="00475FA2">
            <w:pPr>
              <w:spacing w:before="120" w:line="276" w:lineRule="auto"/>
              <w:contextualSpacing/>
              <w:rPr>
                <w:sz w:val="20"/>
                <w:szCs w:val="20"/>
              </w:rPr>
            </w:pPr>
            <w:r w:rsidRPr="004E0431">
              <w:rPr>
                <w:rFonts w:eastAsia="Arial"/>
                <w:sz w:val="20"/>
                <w:szCs w:val="20"/>
              </w:rPr>
              <w:t>Valid</w:t>
            </w:r>
          </w:p>
        </w:tc>
        <w:tc>
          <w:tcPr>
            <w:tcW w:w="2788" w:type="dxa"/>
            <w:tcBorders>
              <w:top w:val="single" w:sz="4" w:space="0" w:color="auto"/>
              <w:left w:val="single" w:sz="4" w:space="0" w:color="auto"/>
              <w:bottom w:val="single" w:sz="4" w:space="0" w:color="auto"/>
              <w:right w:val="single" w:sz="4" w:space="0" w:color="auto"/>
            </w:tcBorders>
            <w:shd w:val="clear" w:color="auto" w:fill="auto"/>
          </w:tcPr>
          <w:p w14:paraId="29C027D5" w14:textId="77777777" w:rsidR="00CD5BAE" w:rsidRPr="004E0431" w:rsidRDefault="00CD5BAE" w:rsidP="00475FA2">
            <w:pPr>
              <w:spacing w:before="120" w:line="276" w:lineRule="auto"/>
              <w:contextualSpacing/>
              <w:rPr>
                <w:sz w:val="20"/>
                <w:szCs w:val="20"/>
              </w:rPr>
            </w:pPr>
            <w:r w:rsidRPr="004E0431">
              <w:rPr>
                <w:rFonts w:eastAsia="Arial"/>
                <w:sz w:val="20"/>
                <w:szCs w:val="20"/>
              </w:rPr>
              <w:t>Lack of Awareness</w:t>
            </w:r>
          </w:p>
        </w:tc>
        <w:tc>
          <w:tcPr>
            <w:tcW w:w="1207" w:type="dxa"/>
            <w:tcBorders>
              <w:top w:val="single" w:sz="4" w:space="0" w:color="auto"/>
              <w:left w:val="single" w:sz="4" w:space="0" w:color="auto"/>
              <w:bottom w:val="single" w:sz="4" w:space="0" w:color="auto"/>
              <w:right w:val="single" w:sz="4" w:space="0" w:color="auto"/>
            </w:tcBorders>
            <w:shd w:val="clear" w:color="auto" w:fill="auto"/>
          </w:tcPr>
          <w:p w14:paraId="4BC4E055"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117</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5ADF016E"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58.5</w:t>
            </w:r>
          </w:p>
        </w:tc>
        <w:tc>
          <w:tcPr>
            <w:tcW w:w="1462" w:type="dxa"/>
            <w:tcBorders>
              <w:top w:val="single" w:sz="4" w:space="0" w:color="auto"/>
              <w:left w:val="single" w:sz="4" w:space="0" w:color="auto"/>
              <w:bottom w:val="single" w:sz="4" w:space="0" w:color="auto"/>
              <w:right w:val="single" w:sz="4" w:space="0" w:color="auto"/>
            </w:tcBorders>
            <w:shd w:val="clear" w:color="auto" w:fill="auto"/>
          </w:tcPr>
          <w:p w14:paraId="3846D006"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58.5</w:t>
            </w:r>
          </w:p>
        </w:tc>
        <w:tc>
          <w:tcPr>
            <w:tcW w:w="1666" w:type="dxa"/>
            <w:tcBorders>
              <w:top w:val="single" w:sz="4" w:space="0" w:color="auto"/>
              <w:left w:val="single" w:sz="4" w:space="0" w:color="auto"/>
              <w:bottom w:val="single" w:sz="4" w:space="0" w:color="auto"/>
              <w:right w:val="single" w:sz="4" w:space="0" w:color="auto"/>
            </w:tcBorders>
            <w:shd w:val="clear" w:color="auto" w:fill="auto"/>
          </w:tcPr>
          <w:p w14:paraId="0FA741B6"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58.5</w:t>
            </w:r>
          </w:p>
        </w:tc>
      </w:tr>
      <w:tr w:rsidR="004E0431" w:rsidRPr="004E0431" w14:paraId="3135DC2F" w14:textId="77777777" w:rsidTr="00493138">
        <w:trPr>
          <w:jc w:val="center"/>
        </w:trPr>
        <w:tc>
          <w:tcPr>
            <w:tcW w:w="833" w:type="dxa"/>
            <w:vMerge/>
            <w:tcBorders>
              <w:top w:val="single" w:sz="4" w:space="0" w:color="auto"/>
              <w:left w:val="single" w:sz="4" w:space="0" w:color="auto"/>
              <w:bottom w:val="single" w:sz="4" w:space="0" w:color="auto"/>
              <w:right w:val="single" w:sz="4" w:space="0" w:color="auto"/>
            </w:tcBorders>
            <w:shd w:val="clear" w:color="auto" w:fill="auto"/>
          </w:tcPr>
          <w:p w14:paraId="2C7810AF" w14:textId="77777777" w:rsidR="00CD5BAE" w:rsidRPr="004E0431" w:rsidRDefault="00CD5BAE" w:rsidP="00475FA2">
            <w:pPr>
              <w:spacing w:before="120" w:line="276" w:lineRule="auto"/>
              <w:contextualSpacing/>
              <w:rPr>
                <w:sz w:val="20"/>
                <w:szCs w:val="20"/>
              </w:rPr>
            </w:pPr>
          </w:p>
        </w:tc>
        <w:tc>
          <w:tcPr>
            <w:tcW w:w="2788" w:type="dxa"/>
            <w:tcBorders>
              <w:top w:val="single" w:sz="4" w:space="0" w:color="auto"/>
              <w:left w:val="single" w:sz="4" w:space="0" w:color="auto"/>
              <w:bottom w:val="single" w:sz="4" w:space="0" w:color="auto"/>
              <w:right w:val="single" w:sz="4" w:space="0" w:color="auto"/>
            </w:tcBorders>
            <w:shd w:val="clear" w:color="auto" w:fill="auto"/>
          </w:tcPr>
          <w:p w14:paraId="1524DCF9" w14:textId="77777777" w:rsidR="00CD5BAE" w:rsidRPr="004E0431" w:rsidRDefault="00CD5BAE" w:rsidP="00475FA2">
            <w:pPr>
              <w:spacing w:before="120" w:line="276" w:lineRule="auto"/>
              <w:contextualSpacing/>
              <w:rPr>
                <w:sz w:val="20"/>
                <w:szCs w:val="20"/>
              </w:rPr>
            </w:pPr>
            <w:r w:rsidRPr="004E0431">
              <w:rPr>
                <w:rFonts w:eastAsia="Arial"/>
                <w:sz w:val="20"/>
                <w:szCs w:val="20"/>
              </w:rPr>
              <w:t>Perceived Lower Returns</w:t>
            </w:r>
          </w:p>
        </w:tc>
        <w:tc>
          <w:tcPr>
            <w:tcW w:w="1207" w:type="dxa"/>
            <w:tcBorders>
              <w:top w:val="single" w:sz="4" w:space="0" w:color="auto"/>
              <w:left w:val="single" w:sz="4" w:space="0" w:color="auto"/>
              <w:bottom w:val="single" w:sz="4" w:space="0" w:color="auto"/>
              <w:right w:val="single" w:sz="4" w:space="0" w:color="auto"/>
            </w:tcBorders>
            <w:shd w:val="clear" w:color="auto" w:fill="auto"/>
          </w:tcPr>
          <w:p w14:paraId="423DF64D"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26</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5E1ECA80"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13.0</w:t>
            </w:r>
          </w:p>
        </w:tc>
        <w:tc>
          <w:tcPr>
            <w:tcW w:w="1462" w:type="dxa"/>
            <w:tcBorders>
              <w:top w:val="single" w:sz="4" w:space="0" w:color="auto"/>
              <w:left w:val="single" w:sz="4" w:space="0" w:color="auto"/>
              <w:bottom w:val="single" w:sz="4" w:space="0" w:color="auto"/>
              <w:right w:val="single" w:sz="4" w:space="0" w:color="auto"/>
            </w:tcBorders>
            <w:shd w:val="clear" w:color="auto" w:fill="auto"/>
          </w:tcPr>
          <w:p w14:paraId="5E4B8B3B"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13.0</w:t>
            </w:r>
          </w:p>
        </w:tc>
        <w:tc>
          <w:tcPr>
            <w:tcW w:w="1666" w:type="dxa"/>
            <w:tcBorders>
              <w:top w:val="single" w:sz="4" w:space="0" w:color="auto"/>
              <w:left w:val="single" w:sz="4" w:space="0" w:color="auto"/>
              <w:bottom w:val="single" w:sz="4" w:space="0" w:color="auto"/>
              <w:right w:val="single" w:sz="4" w:space="0" w:color="auto"/>
            </w:tcBorders>
            <w:shd w:val="clear" w:color="auto" w:fill="auto"/>
          </w:tcPr>
          <w:p w14:paraId="13294482"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71.5</w:t>
            </w:r>
          </w:p>
        </w:tc>
      </w:tr>
      <w:tr w:rsidR="004E0431" w:rsidRPr="004E0431" w14:paraId="408B8CCD" w14:textId="77777777" w:rsidTr="00493138">
        <w:trPr>
          <w:jc w:val="center"/>
        </w:trPr>
        <w:tc>
          <w:tcPr>
            <w:tcW w:w="833" w:type="dxa"/>
            <w:vMerge/>
            <w:tcBorders>
              <w:top w:val="single" w:sz="4" w:space="0" w:color="auto"/>
              <w:left w:val="single" w:sz="4" w:space="0" w:color="auto"/>
              <w:bottom w:val="single" w:sz="4" w:space="0" w:color="auto"/>
              <w:right w:val="single" w:sz="4" w:space="0" w:color="auto"/>
            </w:tcBorders>
            <w:shd w:val="clear" w:color="auto" w:fill="auto"/>
          </w:tcPr>
          <w:p w14:paraId="7A4CD050" w14:textId="77777777" w:rsidR="00CD5BAE" w:rsidRPr="004E0431" w:rsidRDefault="00CD5BAE" w:rsidP="00475FA2">
            <w:pPr>
              <w:spacing w:before="120" w:line="276" w:lineRule="auto"/>
              <w:contextualSpacing/>
              <w:rPr>
                <w:sz w:val="20"/>
                <w:szCs w:val="20"/>
              </w:rPr>
            </w:pPr>
          </w:p>
        </w:tc>
        <w:tc>
          <w:tcPr>
            <w:tcW w:w="2788" w:type="dxa"/>
            <w:tcBorders>
              <w:top w:val="single" w:sz="4" w:space="0" w:color="auto"/>
              <w:left w:val="single" w:sz="4" w:space="0" w:color="auto"/>
              <w:bottom w:val="single" w:sz="4" w:space="0" w:color="auto"/>
              <w:right w:val="single" w:sz="4" w:space="0" w:color="auto"/>
            </w:tcBorders>
            <w:shd w:val="clear" w:color="auto" w:fill="auto"/>
          </w:tcPr>
          <w:p w14:paraId="6FE073B6" w14:textId="77777777" w:rsidR="00CD5BAE" w:rsidRPr="004E0431" w:rsidRDefault="00CD5BAE" w:rsidP="00475FA2">
            <w:pPr>
              <w:spacing w:before="120" w:line="276" w:lineRule="auto"/>
              <w:contextualSpacing/>
              <w:rPr>
                <w:sz w:val="20"/>
                <w:szCs w:val="20"/>
              </w:rPr>
            </w:pPr>
            <w:r w:rsidRPr="004E0431">
              <w:rPr>
                <w:rFonts w:eastAsia="Arial"/>
                <w:sz w:val="20"/>
                <w:szCs w:val="20"/>
              </w:rPr>
              <w:t>Limited Availability of ESG Products</w:t>
            </w:r>
          </w:p>
        </w:tc>
        <w:tc>
          <w:tcPr>
            <w:tcW w:w="1207" w:type="dxa"/>
            <w:tcBorders>
              <w:top w:val="single" w:sz="4" w:space="0" w:color="auto"/>
              <w:left w:val="single" w:sz="4" w:space="0" w:color="auto"/>
              <w:bottom w:val="single" w:sz="4" w:space="0" w:color="auto"/>
              <w:right w:val="single" w:sz="4" w:space="0" w:color="auto"/>
            </w:tcBorders>
            <w:shd w:val="clear" w:color="auto" w:fill="auto"/>
          </w:tcPr>
          <w:p w14:paraId="10C407A1"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51</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4B655E5D"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25.5</w:t>
            </w:r>
          </w:p>
        </w:tc>
        <w:tc>
          <w:tcPr>
            <w:tcW w:w="1462" w:type="dxa"/>
            <w:tcBorders>
              <w:top w:val="single" w:sz="4" w:space="0" w:color="auto"/>
              <w:left w:val="single" w:sz="4" w:space="0" w:color="auto"/>
              <w:bottom w:val="single" w:sz="4" w:space="0" w:color="auto"/>
              <w:right w:val="single" w:sz="4" w:space="0" w:color="auto"/>
            </w:tcBorders>
            <w:shd w:val="clear" w:color="auto" w:fill="auto"/>
          </w:tcPr>
          <w:p w14:paraId="0AE1FC71"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25.5</w:t>
            </w:r>
          </w:p>
        </w:tc>
        <w:tc>
          <w:tcPr>
            <w:tcW w:w="1666" w:type="dxa"/>
            <w:tcBorders>
              <w:top w:val="single" w:sz="4" w:space="0" w:color="auto"/>
              <w:left w:val="single" w:sz="4" w:space="0" w:color="auto"/>
              <w:bottom w:val="single" w:sz="4" w:space="0" w:color="auto"/>
              <w:right w:val="single" w:sz="4" w:space="0" w:color="auto"/>
            </w:tcBorders>
            <w:shd w:val="clear" w:color="auto" w:fill="auto"/>
          </w:tcPr>
          <w:p w14:paraId="1A9E28AF"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97.0</w:t>
            </w:r>
          </w:p>
        </w:tc>
      </w:tr>
      <w:tr w:rsidR="004E0431" w:rsidRPr="004E0431" w14:paraId="3C68EB19" w14:textId="77777777" w:rsidTr="00493138">
        <w:trPr>
          <w:jc w:val="center"/>
        </w:trPr>
        <w:tc>
          <w:tcPr>
            <w:tcW w:w="833" w:type="dxa"/>
            <w:vMerge/>
            <w:tcBorders>
              <w:top w:val="single" w:sz="4" w:space="0" w:color="auto"/>
              <w:left w:val="single" w:sz="4" w:space="0" w:color="auto"/>
              <w:bottom w:val="single" w:sz="4" w:space="0" w:color="auto"/>
              <w:right w:val="single" w:sz="4" w:space="0" w:color="auto"/>
            </w:tcBorders>
            <w:shd w:val="clear" w:color="auto" w:fill="auto"/>
          </w:tcPr>
          <w:p w14:paraId="44A57C66" w14:textId="77777777" w:rsidR="00CD5BAE" w:rsidRPr="004E0431" w:rsidRDefault="00CD5BAE" w:rsidP="00475FA2">
            <w:pPr>
              <w:spacing w:before="120" w:line="276" w:lineRule="auto"/>
              <w:contextualSpacing/>
              <w:rPr>
                <w:sz w:val="20"/>
                <w:szCs w:val="20"/>
              </w:rPr>
            </w:pPr>
          </w:p>
        </w:tc>
        <w:tc>
          <w:tcPr>
            <w:tcW w:w="2788" w:type="dxa"/>
            <w:tcBorders>
              <w:top w:val="single" w:sz="4" w:space="0" w:color="auto"/>
              <w:left w:val="single" w:sz="4" w:space="0" w:color="auto"/>
              <w:bottom w:val="single" w:sz="4" w:space="0" w:color="auto"/>
              <w:right w:val="single" w:sz="4" w:space="0" w:color="auto"/>
            </w:tcBorders>
            <w:shd w:val="clear" w:color="auto" w:fill="auto"/>
          </w:tcPr>
          <w:p w14:paraId="1BA22C6C" w14:textId="77777777" w:rsidR="00CD5BAE" w:rsidRPr="004E0431" w:rsidRDefault="00CD5BAE" w:rsidP="00475FA2">
            <w:pPr>
              <w:spacing w:before="120" w:line="276" w:lineRule="auto"/>
              <w:contextualSpacing/>
              <w:rPr>
                <w:sz w:val="20"/>
                <w:szCs w:val="20"/>
              </w:rPr>
            </w:pPr>
            <w:r w:rsidRPr="004E0431">
              <w:rPr>
                <w:rFonts w:eastAsia="Arial"/>
                <w:sz w:val="20"/>
                <w:szCs w:val="20"/>
              </w:rPr>
              <w:t>Higher Costs</w:t>
            </w:r>
          </w:p>
        </w:tc>
        <w:tc>
          <w:tcPr>
            <w:tcW w:w="1207" w:type="dxa"/>
            <w:tcBorders>
              <w:top w:val="single" w:sz="4" w:space="0" w:color="auto"/>
              <w:left w:val="single" w:sz="4" w:space="0" w:color="auto"/>
              <w:bottom w:val="single" w:sz="4" w:space="0" w:color="auto"/>
              <w:right w:val="single" w:sz="4" w:space="0" w:color="auto"/>
            </w:tcBorders>
            <w:shd w:val="clear" w:color="auto" w:fill="auto"/>
          </w:tcPr>
          <w:p w14:paraId="378EFD22"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6</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0391C949"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3.0</w:t>
            </w:r>
          </w:p>
        </w:tc>
        <w:tc>
          <w:tcPr>
            <w:tcW w:w="1462" w:type="dxa"/>
            <w:tcBorders>
              <w:top w:val="single" w:sz="4" w:space="0" w:color="auto"/>
              <w:left w:val="single" w:sz="4" w:space="0" w:color="auto"/>
              <w:bottom w:val="single" w:sz="4" w:space="0" w:color="auto"/>
              <w:right w:val="single" w:sz="4" w:space="0" w:color="auto"/>
            </w:tcBorders>
            <w:shd w:val="clear" w:color="auto" w:fill="auto"/>
          </w:tcPr>
          <w:p w14:paraId="0AE3B763"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3.0</w:t>
            </w:r>
          </w:p>
        </w:tc>
        <w:tc>
          <w:tcPr>
            <w:tcW w:w="1666" w:type="dxa"/>
            <w:tcBorders>
              <w:top w:val="single" w:sz="4" w:space="0" w:color="auto"/>
              <w:left w:val="single" w:sz="4" w:space="0" w:color="auto"/>
              <w:bottom w:val="single" w:sz="4" w:space="0" w:color="auto"/>
              <w:right w:val="single" w:sz="4" w:space="0" w:color="auto"/>
            </w:tcBorders>
            <w:shd w:val="clear" w:color="auto" w:fill="auto"/>
          </w:tcPr>
          <w:p w14:paraId="5CFEF77A"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100.0</w:t>
            </w:r>
          </w:p>
        </w:tc>
      </w:tr>
      <w:tr w:rsidR="004E0431" w:rsidRPr="004E0431" w14:paraId="59AD9C77" w14:textId="77777777" w:rsidTr="00493138">
        <w:trPr>
          <w:jc w:val="center"/>
        </w:trPr>
        <w:tc>
          <w:tcPr>
            <w:tcW w:w="833" w:type="dxa"/>
            <w:vMerge/>
            <w:tcBorders>
              <w:top w:val="single" w:sz="4" w:space="0" w:color="auto"/>
              <w:left w:val="single" w:sz="4" w:space="0" w:color="auto"/>
              <w:bottom w:val="single" w:sz="4" w:space="0" w:color="auto"/>
              <w:right w:val="single" w:sz="4" w:space="0" w:color="auto"/>
            </w:tcBorders>
            <w:shd w:val="clear" w:color="auto" w:fill="auto"/>
          </w:tcPr>
          <w:p w14:paraId="200FE784" w14:textId="77777777" w:rsidR="00CD5BAE" w:rsidRPr="004E0431" w:rsidRDefault="00CD5BAE" w:rsidP="00475FA2">
            <w:pPr>
              <w:spacing w:before="120" w:line="276" w:lineRule="auto"/>
              <w:contextualSpacing/>
              <w:rPr>
                <w:sz w:val="20"/>
                <w:szCs w:val="20"/>
              </w:rPr>
            </w:pPr>
          </w:p>
        </w:tc>
        <w:tc>
          <w:tcPr>
            <w:tcW w:w="2788" w:type="dxa"/>
            <w:tcBorders>
              <w:top w:val="single" w:sz="4" w:space="0" w:color="auto"/>
              <w:left w:val="single" w:sz="4" w:space="0" w:color="auto"/>
              <w:bottom w:val="single" w:sz="4" w:space="0" w:color="auto"/>
              <w:right w:val="single" w:sz="4" w:space="0" w:color="auto"/>
            </w:tcBorders>
            <w:shd w:val="clear" w:color="auto" w:fill="auto"/>
          </w:tcPr>
          <w:p w14:paraId="1D3166BB" w14:textId="77777777" w:rsidR="00CD5BAE" w:rsidRPr="004E0431" w:rsidRDefault="00CD5BAE" w:rsidP="00475FA2">
            <w:pPr>
              <w:spacing w:before="120" w:line="276" w:lineRule="auto"/>
              <w:contextualSpacing/>
              <w:rPr>
                <w:sz w:val="20"/>
                <w:szCs w:val="20"/>
              </w:rPr>
            </w:pPr>
            <w:r w:rsidRPr="004E0431">
              <w:rPr>
                <w:rFonts w:eastAsia="Arial"/>
                <w:sz w:val="20"/>
                <w:szCs w:val="20"/>
              </w:rPr>
              <w:t>Total</w:t>
            </w:r>
          </w:p>
        </w:tc>
        <w:tc>
          <w:tcPr>
            <w:tcW w:w="1207" w:type="dxa"/>
            <w:tcBorders>
              <w:top w:val="single" w:sz="4" w:space="0" w:color="auto"/>
              <w:left w:val="single" w:sz="4" w:space="0" w:color="auto"/>
              <w:bottom w:val="single" w:sz="4" w:space="0" w:color="auto"/>
              <w:right w:val="single" w:sz="4" w:space="0" w:color="auto"/>
            </w:tcBorders>
            <w:shd w:val="clear" w:color="auto" w:fill="auto"/>
          </w:tcPr>
          <w:p w14:paraId="0B3EDB1E"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200</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0568D6CF"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100.0</w:t>
            </w:r>
          </w:p>
        </w:tc>
        <w:tc>
          <w:tcPr>
            <w:tcW w:w="1462" w:type="dxa"/>
            <w:tcBorders>
              <w:top w:val="single" w:sz="4" w:space="0" w:color="auto"/>
              <w:left w:val="single" w:sz="4" w:space="0" w:color="auto"/>
              <w:bottom w:val="single" w:sz="4" w:space="0" w:color="auto"/>
              <w:right w:val="single" w:sz="4" w:space="0" w:color="auto"/>
            </w:tcBorders>
            <w:shd w:val="clear" w:color="auto" w:fill="auto"/>
          </w:tcPr>
          <w:p w14:paraId="22056C90"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100.0</w:t>
            </w:r>
          </w:p>
        </w:tc>
        <w:tc>
          <w:tcPr>
            <w:tcW w:w="1666" w:type="dxa"/>
            <w:tcBorders>
              <w:top w:val="single" w:sz="4" w:space="0" w:color="auto"/>
              <w:left w:val="single" w:sz="4" w:space="0" w:color="auto"/>
              <w:bottom w:val="single" w:sz="4" w:space="0" w:color="auto"/>
              <w:right w:val="single" w:sz="4" w:space="0" w:color="auto"/>
            </w:tcBorders>
            <w:shd w:val="clear" w:color="auto" w:fill="auto"/>
          </w:tcPr>
          <w:p w14:paraId="45228DFA" w14:textId="77777777" w:rsidR="00CD5BAE" w:rsidRPr="004E0431" w:rsidRDefault="00CD5BAE" w:rsidP="00475FA2">
            <w:pPr>
              <w:spacing w:before="120" w:line="276" w:lineRule="auto"/>
              <w:contextualSpacing/>
              <w:rPr>
                <w:sz w:val="20"/>
                <w:szCs w:val="20"/>
              </w:rPr>
            </w:pPr>
          </w:p>
        </w:tc>
      </w:tr>
    </w:tbl>
    <w:p w14:paraId="693F3F17" w14:textId="482780CC" w:rsidR="00391D46" w:rsidRPr="0001291E" w:rsidRDefault="00CD5BAE" w:rsidP="00475FA2">
      <w:pPr>
        <w:spacing w:before="120" w:line="276" w:lineRule="auto"/>
        <w:jc w:val="both"/>
        <w:rPr>
          <w:sz w:val="20"/>
          <w:szCs w:val="20"/>
        </w:rPr>
      </w:pPr>
      <w:r w:rsidRPr="0001291E">
        <w:rPr>
          <w:sz w:val="20"/>
          <w:szCs w:val="20"/>
        </w:rPr>
        <w:t xml:space="preserve">                        </w:t>
      </w:r>
      <w:r w:rsidRPr="0001291E">
        <w:rPr>
          <w:noProof/>
          <w:sz w:val="20"/>
          <w:szCs w:val="20"/>
          <w:lang w:val="en-IN" w:eastAsia="en-IN"/>
        </w:rPr>
        <w:drawing>
          <wp:inline distT="0" distB="0" distL="0" distR="0" wp14:anchorId="659E472B" wp14:editId="3C1ED4A5">
            <wp:extent cx="4229100" cy="2433637"/>
            <wp:effectExtent l="0" t="0" r="0" b="5080"/>
            <wp:docPr id="1946011313" name="Chart 1">
              <a:extLst xmlns:a="http://schemas.openxmlformats.org/drawingml/2006/main">
                <a:ext uri="{FF2B5EF4-FFF2-40B4-BE49-F238E27FC236}">
                  <a16:creationId xmlns:a16="http://schemas.microsoft.com/office/drawing/2014/main" id="{C376F6FF-0DF7-A370-6A13-F9FF6A56AF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3D7968E" w14:textId="77777777" w:rsidR="00475FA2" w:rsidRDefault="00475FA2" w:rsidP="00475FA2">
      <w:pPr>
        <w:spacing w:before="120" w:line="276" w:lineRule="auto"/>
        <w:rPr>
          <w:b/>
          <w:bCs/>
          <w:sz w:val="20"/>
          <w:szCs w:val="20"/>
        </w:rPr>
        <w:sectPr w:rsidR="00475FA2" w:rsidSect="00475FA2">
          <w:type w:val="continuous"/>
          <w:pgSz w:w="12240" w:h="15840" w:code="1"/>
          <w:pgMar w:top="1440" w:right="1440" w:bottom="1440" w:left="1440" w:header="706" w:footer="706" w:gutter="0"/>
          <w:cols w:space="720"/>
          <w:docGrid w:linePitch="299"/>
        </w:sectPr>
      </w:pPr>
    </w:p>
    <w:p w14:paraId="10409B90" w14:textId="77777777" w:rsidR="00CD5BAE" w:rsidRPr="0001291E" w:rsidRDefault="00CD5BAE" w:rsidP="00475FA2">
      <w:pPr>
        <w:spacing w:before="120" w:line="276" w:lineRule="auto"/>
        <w:rPr>
          <w:b/>
          <w:bCs/>
          <w:sz w:val="20"/>
          <w:szCs w:val="20"/>
        </w:rPr>
      </w:pPr>
      <w:r w:rsidRPr="0001291E">
        <w:rPr>
          <w:b/>
          <w:bCs/>
          <w:sz w:val="20"/>
          <w:szCs w:val="20"/>
        </w:rPr>
        <w:t>Interpretation:</w:t>
      </w:r>
    </w:p>
    <w:p w14:paraId="199C8D93" w14:textId="77777777" w:rsidR="00CD5BAE" w:rsidRPr="0001291E" w:rsidRDefault="00CD5BAE" w:rsidP="00475FA2">
      <w:pPr>
        <w:spacing w:before="120" w:line="276" w:lineRule="auto"/>
        <w:jc w:val="both"/>
        <w:rPr>
          <w:sz w:val="20"/>
          <w:szCs w:val="20"/>
        </w:rPr>
      </w:pPr>
      <w:r w:rsidRPr="0001291E">
        <w:rPr>
          <w:sz w:val="20"/>
          <w:szCs w:val="20"/>
        </w:rPr>
        <w:t xml:space="preserve">The table below shows the barriers preventing respondents from investing in ESG products. It is clear that the most significant obstacle is lack of awareness, cited by 58.5% of respondents, indicating that many investors are either unfamiliar with ESG investing or do not fully understand its benefits. A notable 25.5% believe there is limited availability of ESG products, suggesting that accessibility and product options remain a concern for potential investors. 13% of </w:t>
      </w:r>
      <w:r w:rsidRPr="0001291E">
        <w:rPr>
          <w:sz w:val="20"/>
          <w:szCs w:val="20"/>
        </w:rPr>
        <w:t>respondents are deterred by perceived lower returns, reflecting skepticism about the financial performance of ESG investments compared to traditional assets. A small 3% cite higher costs as a barrier, indicating that while expenses are a concern for some, they are not a major deterrent for most investors. Overall, the data suggests that increasing awareness, expanding product availability, and addressing misconceptions about ESG investment returns could help drive greater adoption of sustainable investing.</w:t>
      </w:r>
    </w:p>
    <w:p w14:paraId="10B7ADF7" w14:textId="77777777" w:rsidR="00475FA2" w:rsidRDefault="00475FA2" w:rsidP="00475FA2">
      <w:pPr>
        <w:spacing w:before="120" w:line="276" w:lineRule="auto"/>
        <w:jc w:val="center"/>
        <w:rPr>
          <w:rFonts w:eastAsia="Arial"/>
          <w:b/>
          <w:color w:val="010205"/>
          <w:sz w:val="20"/>
          <w:szCs w:val="20"/>
        </w:rPr>
        <w:sectPr w:rsidR="00475FA2" w:rsidSect="00475FA2">
          <w:type w:val="continuous"/>
          <w:pgSz w:w="12240" w:h="15840" w:code="1"/>
          <w:pgMar w:top="1440" w:right="1440" w:bottom="1440" w:left="1440" w:header="706" w:footer="706" w:gutter="0"/>
          <w:cols w:num="2" w:space="720"/>
          <w:docGrid w:linePitch="299"/>
        </w:sectPr>
      </w:pPr>
    </w:p>
    <w:p w14:paraId="6C8061CF" w14:textId="7B781E03" w:rsidR="00CD5BAE" w:rsidRPr="0001291E" w:rsidRDefault="00CD5BAE" w:rsidP="00475FA2">
      <w:pPr>
        <w:spacing w:before="120" w:line="276" w:lineRule="auto"/>
        <w:jc w:val="center"/>
        <w:rPr>
          <w:rFonts w:eastAsia="Arial"/>
          <w:b/>
          <w:color w:val="010205"/>
          <w:sz w:val="20"/>
          <w:szCs w:val="20"/>
        </w:rPr>
      </w:pPr>
      <w:r w:rsidRPr="0001291E">
        <w:rPr>
          <w:rFonts w:eastAsia="Arial"/>
          <w:b/>
          <w:color w:val="010205"/>
          <w:sz w:val="20"/>
          <w:szCs w:val="20"/>
        </w:rPr>
        <w:t>How often do you consider ESG factors when making investment decisions?</w:t>
      </w:r>
    </w:p>
    <w:tbl>
      <w:tblPr>
        <w:tblW w:w="0" w:type="auto"/>
        <w:tblInd w:w="685" w:type="dxa"/>
        <w:tblLayout w:type="fixed"/>
        <w:tblCellMar>
          <w:left w:w="10" w:type="dxa"/>
          <w:right w:w="10" w:type="dxa"/>
        </w:tblCellMar>
        <w:tblLook w:val="04A0" w:firstRow="1" w:lastRow="0" w:firstColumn="1" w:lastColumn="0" w:noHBand="0" w:noVBand="1"/>
      </w:tblPr>
      <w:tblGrid>
        <w:gridCol w:w="833"/>
        <w:gridCol w:w="1326"/>
        <w:gridCol w:w="1207"/>
        <w:gridCol w:w="1156"/>
        <w:gridCol w:w="1462"/>
        <w:gridCol w:w="1666"/>
      </w:tblGrid>
      <w:tr w:rsidR="004E0431" w:rsidRPr="004E0431" w14:paraId="2C170F5A" w14:textId="77777777" w:rsidTr="00BC2511">
        <w:tc>
          <w:tcPr>
            <w:tcW w:w="215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E14D26A" w14:textId="77777777" w:rsidR="00CD5BAE" w:rsidRPr="004E0431" w:rsidRDefault="00CD5BAE" w:rsidP="00475FA2">
            <w:pPr>
              <w:spacing w:before="120" w:line="276" w:lineRule="auto"/>
              <w:contextualSpacing/>
              <w:rPr>
                <w:sz w:val="20"/>
                <w:szCs w:val="20"/>
              </w:rPr>
            </w:pPr>
          </w:p>
        </w:tc>
        <w:tc>
          <w:tcPr>
            <w:tcW w:w="1207" w:type="dxa"/>
            <w:tcBorders>
              <w:top w:val="single" w:sz="4" w:space="0" w:color="auto"/>
              <w:left w:val="single" w:sz="4" w:space="0" w:color="auto"/>
              <w:bottom w:val="single" w:sz="4" w:space="0" w:color="auto"/>
              <w:right w:val="single" w:sz="4" w:space="0" w:color="auto"/>
            </w:tcBorders>
            <w:shd w:val="clear" w:color="auto" w:fill="auto"/>
            <w:vAlign w:val="bottom"/>
          </w:tcPr>
          <w:p w14:paraId="7FD930C1" w14:textId="77777777" w:rsidR="00CD5BAE" w:rsidRPr="004E0431" w:rsidRDefault="00CD5BAE" w:rsidP="00475FA2">
            <w:pPr>
              <w:spacing w:before="120" w:line="276" w:lineRule="auto"/>
              <w:contextualSpacing/>
              <w:jc w:val="center"/>
              <w:rPr>
                <w:sz w:val="20"/>
                <w:szCs w:val="20"/>
              </w:rPr>
            </w:pPr>
            <w:r w:rsidRPr="004E0431">
              <w:rPr>
                <w:rFonts w:eastAsia="Arial"/>
                <w:sz w:val="20"/>
                <w:szCs w:val="20"/>
              </w:rPr>
              <w:t>Frequency</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bottom"/>
          </w:tcPr>
          <w:p w14:paraId="4A3063CF" w14:textId="77777777" w:rsidR="00CD5BAE" w:rsidRPr="004E0431" w:rsidRDefault="00CD5BAE" w:rsidP="00475FA2">
            <w:pPr>
              <w:spacing w:before="120" w:line="276" w:lineRule="auto"/>
              <w:contextualSpacing/>
              <w:jc w:val="center"/>
              <w:rPr>
                <w:sz w:val="20"/>
                <w:szCs w:val="20"/>
              </w:rPr>
            </w:pPr>
            <w:r w:rsidRPr="004E0431">
              <w:rPr>
                <w:rFonts w:eastAsia="Arial"/>
                <w:sz w:val="20"/>
                <w:szCs w:val="20"/>
              </w:rPr>
              <w:t>Percent</w:t>
            </w:r>
          </w:p>
        </w:tc>
        <w:tc>
          <w:tcPr>
            <w:tcW w:w="1462" w:type="dxa"/>
            <w:tcBorders>
              <w:top w:val="single" w:sz="4" w:space="0" w:color="auto"/>
              <w:left w:val="single" w:sz="4" w:space="0" w:color="auto"/>
              <w:bottom w:val="single" w:sz="4" w:space="0" w:color="auto"/>
              <w:right w:val="single" w:sz="4" w:space="0" w:color="auto"/>
            </w:tcBorders>
            <w:shd w:val="clear" w:color="auto" w:fill="auto"/>
            <w:vAlign w:val="bottom"/>
          </w:tcPr>
          <w:p w14:paraId="3D71D43E" w14:textId="77777777" w:rsidR="00CD5BAE" w:rsidRPr="004E0431" w:rsidRDefault="00CD5BAE" w:rsidP="00475FA2">
            <w:pPr>
              <w:spacing w:before="120" w:line="276" w:lineRule="auto"/>
              <w:contextualSpacing/>
              <w:jc w:val="center"/>
              <w:rPr>
                <w:sz w:val="20"/>
                <w:szCs w:val="20"/>
              </w:rPr>
            </w:pPr>
            <w:r w:rsidRPr="004E0431">
              <w:rPr>
                <w:rFonts w:eastAsia="Arial"/>
                <w:sz w:val="20"/>
                <w:szCs w:val="20"/>
              </w:rPr>
              <w:t>Valid Percent</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bottom"/>
          </w:tcPr>
          <w:p w14:paraId="52E81268" w14:textId="77777777" w:rsidR="00CD5BAE" w:rsidRPr="004E0431" w:rsidRDefault="00CD5BAE" w:rsidP="00475FA2">
            <w:pPr>
              <w:spacing w:before="120" w:line="276" w:lineRule="auto"/>
              <w:contextualSpacing/>
              <w:jc w:val="center"/>
              <w:rPr>
                <w:sz w:val="20"/>
                <w:szCs w:val="20"/>
              </w:rPr>
            </w:pPr>
            <w:r w:rsidRPr="004E0431">
              <w:rPr>
                <w:rFonts w:eastAsia="Arial"/>
                <w:sz w:val="20"/>
                <w:szCs w:val="20"/>
              </w:rPr>
              <w:t>Cumulative Percent</w:t>
            </w:r>
          </w:p>
        </w:tc>
      </w:tr>
      <w:tr w:rsidR="004E0431" w:rsidRPr="004E0431" w14:paraId="5D1C9C26" w14:textId="77777777" w:rsidTr="00BC2511">
        <w:tc>
          <w:tcPr>
            <w:tcW w:w="833" w:type="dxa"/>
            <w:vMerge w:val="restart"/>
            <w:tcBorders>
              <w:top w:val="single" w:sz="4" w:space="0" w:color="auto"/>
              <w:left w:val="single" w:sz="4" w:space="0" w:color="auto"/>
              <w:bottom w:val="single" w:sz="4" w:space="0" w:color="auto"/>
              <w:right w:val="single" w:sz="4" w:space="0" w:color="auto"/>
            </w:tcBorders>
            <w:shd w:val="clear" w:color="auto" w:fill="auto"/>
          </w:tcPr>
          <w:p w14:paraId="0BB4B4EF" w14:textId="77777777" w:rsidR="00CD5BAE" w:rsidRPr="004E0431" w:rsidRDefault="00CD5BAE" w:rsidP="00475FA2">
            <w:pPr>
              <w:spacing w:before="120" w:line="276" w:lineRule="auto"/>
              <w:contextualSpacing/>
              <w:rPr>
                <w:sz w:val="20"/>
                <w:szCs w:val="20"/>
              </w:rPr>
            </w:pPr>
            <w:r w:rsidRPr="004E0431">
              <w:rPr>
                <w:rFonts w:eastAsia="Arial"/>
                <w:sz w:val="20"/>
                <w:szCs w:val="20"/>
              </w:rPr>
              <w:t>Valid</w:t>
            </w:r>
          </w:p>
        </w:tc>
        <w:tc>
          <w:tcPr>
            <w:tcW w:w="1326" w:type="dxa"/>
            <w:tcBorders>
              <w:top w:val="single" w:sz="4" w:space="0" w:color="auto"/>
              <w:left w:val="single" w:sz="4" w:space="0" w:color="auto"/>
              <w:bottom w:val="single" w:sz="4" w:space="0" w:color="auto"/>
              <w:right w:val="single" w:sz="4" w:space="0" w:color="auto"/>
            </w:tcBorders>
            <w:shd w:val="clear" w:color="auto" w:fill="auto"/>
          </w:tcPr>
          <w:p w14:paraId="2E8DE202" w14:textId="77777777" w:rsidR="00CD5BAE" w:rsidRPr="004E0431" w:rsidRDefault="00CD5BAE" w:rsidP="00475FA2">
            <w:pPr>
              <w:spacing w:before="120" w:line="276" w:lineRule="auto"/>
              <w:contextualSpacing/>
              <w:rPr>
                <w:sz w:val="20"/>
                <w:szCs w:val="20"/>
              </w:rPr>
            </w:pPr>
            <w:r w:rsidRPr="004E0431">
              <w:rPr>
                <w:rFonts w:eastAsia="Arial"/>
                <w:sz w:val="20"/>
                <w:szCs w:val="20"/>
              </w:rPr>
              <w:t>Always</w:t>
            </w:r>
          </w:p>
        </w:tc>
        <w:tc>
          <w:tcPr>
            <w:tcW w:w="1207" w:type="dxa"/>
            <w:tcBorders>
              <w:top w:val="single" w:sz="4" w:space="0" w:color="auto"/>
              <w:left w:val="single" w:sz="4" w:space="0" w:color="auto"/>
              <w:bottom w:val="single" w:sz="4" w:space="0" w:color="auto"/>
              <w:right w:val="single" w:sz="4" w:space="0" w:color="auto"/>
            </w:tcBorders>
            <w:shd w:val="clear" w:color="auto" w:fill="auto"/>
          </w:tcPr>
          <w:p w14:paraId="14242E83"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40</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4B190B84"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20.0</w:t>
            </w:r>
          </w:p>
        </w:tc>
        <w:tc>
          <w:tcPr>
            <w:tcW w:w="1462" w:type="dxa"/>
            <w:tcBorders>
              <w:top w:val="single" w:sz="4" w:space="0" w:color="auto"/>
              <w:left w:val="single" w:sz="4" w:space="0" w:color="auto"/>
              <w:bottom w:val="single" w:sz="4" w:space="0" w:color="auto"/>
              <w:right w:val="single" w:sz="4" w:space="0" w:color="auto"/>
            </w:tcBorders>
            <w:shd w:val="clear" w:color="auto" w:fill="auto"/>
          </w:tcPr>
          <w:p w14:paraId="1ADB9C13"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20.0</w:t>
            </w:r>
          </w:p>
        </w:tc>
        <w:tc>
          <w:tcPr>
            <w:tcW w:w="1666" w:type="dxa"/>
            <w:tcBorders>
              <w:top w:val="single" w:sz="4" w:space="0" w:color="auto"/>
              <w:left w:val="single" w:sz="4" w:space="0" w:color="auto"/>
              <w:bottom w:val="single" w:sz="4" w:space="0" w:color="auto"/>
              <w:right w:val="single" w:sz="4" w:space="0" w:color="auto"/>
            </w:tcBorders>
            <w:shd w:val="clear" w:color="auto" w:fill="auto"/>
          </w:tcPr>
          <w:p w14:paraId="75FF4590"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20.0</w:t>
            </w:r>
          </w:p>
        </w:tc>
      </w:tr>
      <w:tr w:rsidR="004E0431" w:rsidRPr="004E0431" w14:paraId="09DF8E29" w14:textId="77777777" w:rsidTr="00BC2511">
        <w:tc>
          <w:tcPr>
            <w:tcW w:w="833" w:type="dxa"/>
            <w:vMerge/>
            <w:tcBorders>
              <w:top w:val="single" w:sz="4" w:space="0" w:color="auto"/>
              <w:left w:val="single" w:sz="4" w:space="0" w:color="auto"/>
              <w:bottom w:val="single" w:sz="4" w:space="0" w:color="auto"/>
              <w:right w:val="single" w:sz="4" w:space="0" w:color="auto"/>
            </w:tcBorders>
            <w:shd w:val="clear" w:color="auto" w:fill="auto"/>
          </w:tcPr>
          <w:p w14:paraId="2D9F3AF1" w14:textId="77777777" w:rsidR="00CD5BAE" w:rsidRPr="004E0431" w:rsidRDefault="00CD5BAE" w:rsidP="00475FA2">
            <w:pPr>
              <w:spacing w:before="120" w:line="276" w:lineRule="auto"/>
              <w:contextualSpacing/>
              <w:rPr>
                <w:sz w:val="20"/>
                <w:szCs w:val="20"/>
              </w:rPr>
            </w:pPr>
          </w:p>
        </w:tc>
        <w:tc>
          <w:tcPr>
            <w:tcW w:w="1326" w:type="dxa"/>
            <w:tcBorders>
              <w:top w:val="single" w:sz="4" w:space="0" w:color="auto"/>
              <w:left w:val="single" w:sz="4" w:space="0" w:color="auto"/>
              <w:bottom w:val="single" w:sz="4" w:space="0" w:color="auto"/>
              <w:right w:val="single" w:sz="4" w:space="0" w:color="auto"/>
            </w:tcBorders>
            <w:shd w:val="clear" w:color="auto" w:fill="auto"/>
          </w:tcPr>
          <w:p w14:paraId="50A500EC" w14:textId="77777777" w:rsidR="00CD5BAE" w:rsidRPr="004E0431" w:rsidRDefault="00CD5BAE" w:rsidP="00475FA2">
            <w:pPr>
              <w:spacing w:before="120" w:line="276" w:lineRule="auto"/>
              <w:contextualSpacing/>
              <w:rPr>
                <w:sz w:val="20"/>
                <w:szCs w:val="20"/>
              </w:rPr>
            </w:pPr>
            <w:r w:rsidRPr="004E0431">
              <w:rPr>
                <w:rFonts w:eastAsia="Arial"/>
                <w:sz w:val="20"/>
                <w:szCs w:val="20"/>
              </w:rPr>
              <w:t>Often</w:t>
            </w:r>
          </w:p>
        </w:tc>
        <w:tc>
          <w:tcPr>
            <w:tcW w:w="1207" w:type="dxa"/>
            <w:tcBorders>
              <w:top w:val="single" w:sz="4" w:space="0" w:color="auto"/>
              <w:left w:val="single" w:sz="4" w:space="0" w:color="auto"/>
              <w:bottom w:val="single" w:sz="4" w:space="0" w:color="auto"/>
              <w:right w:val="single" w:sz="4" w:space="0" w:color="auto"/>
            </w:tcBorders>
            <w:shd w:val="clear" w:color="auto" w:fill="auto"/>
          </w:tcPr>
          <w:p w14:paraId="6521419D"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70</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47DF02BF"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35.0</w:t>
            </w:r>
          </w:p>
        </w:tc>
        <w:tc>
          <w:tcPr>
            <w:tcW w:w="1462" w:type="dxa"/>
            <w:tcBorders>
              <w:top w:val="single" w:sz="4" w:space="0" w:color="auto"/>
              <w:left w:val="single" w:sz="4" w:space="0" w:color="auto"/>
              <w:bottom w:val="single" w:sz="4" w:space="0" w:color="auto"/>
              <w:right w:val="single" w:sz="4" w:space="0" w:color="auto"/>
            </w:tcBorders>
            <w:shd w:val="clear" w:color="auto" w:fill="auto"/>
          </w:tcPr>
          <w:p w14:paraId="517923A4"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35.0</w:t>
            </w:r>
          </w:p>
        </w:tc>
        <w:tc>
          <w:tcPr>
            <w:tcW w:w="1666" w:type="dxa"/>
            <w:tcBorders>
              <w:top w:val="single" w:sz="4" w:space="0" w:color="auto"/>
              <w:left w:val="single" w:sz="4" w:space="0" w:color="auto"/>
              <w:bottom w:val="single" w:sz="4" w:space="0" w:color="auto"/>
              <w:right w:val="single" w:sz="4" w:space="0" w:color="auto"/>
            </w:tcBorders>
            <w:shd w:val="clear" w:color="auto" w:fill="auto"/>
          </w:tcPr>
          <w:p w14:paraId="2F5924A5"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55.0</w:t>
            </w:r>
          </w:p>
        </w:tc>
      </w:tr>
      <w:tr w:rsidR="004E0431" w:rsidRPr="004E0431" w14:paraId="59BD0542" w14:textId="77777777" w:rsidTr="00BC2511">
        <w:tc>
          <w:tcPr>
            <w:tcW w:w="833" w:type="dxa"/>
            <w:vMerge/>
            <w:tcBorders>
              <w:top w:val="single" w:sz="4" w:space="0" w:color="auto"/>
              <w:left w:val="single" w:sz="4" w:space="0" w:color="auto"/>
              <w:bottom w:val="single" w:sz="4" w:space="0" w:color="auto"/>
              <w:right w:val="single" w:sz="4" w:space="0" w:color="auto"/>
            </w:tcBorders>
            <w:shd w:val="clear" w:color="auto" w:fill="auto"/>
          </w:tcPr>
          <w:p w14:paraId="605D618E" w14:textId="77777777" w:rsidR="00CD5BAE" w:rsidRPr="004E0431" w:rsidRDefault="00CD5BAE" w:rsidP="00475FA2">
            <w:pPr>
              <w:spacing w:before="120" w:line="276" w:lineRule="auto"/>
              <w:contextualSpacing/>
              <w:rPr>
                <w:sz w:val="20"/>
                <w:szCs w:val="20"/>
              </w:rPr>
            </w:pPr>
          </w:p>
        </w:tc>
        <w:tc>
          <w:tcPr>
            <w:tcW w:w="1326" w:type="dxa"/>
            <w:tcBorders>
              <w:top w:val="single" w:sz="4" w:space="0" w:color="auto"/>
              <w:left w:val="single" w:sz="4" w:space="0" w:color="auto"/>
              <w:bottom w:val="single" w:sz="4" w:space="0" w:color="auto"/>
              <w:right w:val="single" w:sz="4" w:space="0" w:color="auto"/>
            </w:tcBorders>
            <w:shd w:val="clear" w:color="auto" w:fill="auto"/>
          </w:tcPr>
          <w:p w14:paraId="79747A4C" w14:textId="77777777" w:rsidR="00CD5BAE" w:rsidRPr="004E0431" w:rsidRDefault="00CD5BAE" w:rsidP="00475FA2">
            <w:pPr>
              <w:spacing w:before="120" w:line="276" w:lineRule="auto"/>
              <w:contextualSpacing/>
              <w:rPr>
                <w:sz w:val="20"/>
                <w:szCs w:val="20"/>
              </w:rPr>
            </w:pPr>
            <w:r w:rsidRPr="004E0431">
              <w:rPr>
                <w:rFonts w:eastAsia="Arial"/>
                <w:sz w:val="20"/>
                <w:szCs w:val="20"/>
              </w:rPr>
              <w:t>Sometimes</w:t>
            </w:r>
          </w:p>
        </w:tc>
        <w:tc>
          <w:tcPr>
            <w:tcW w:w="1207" w:type="dxa"/>
            <w:tcBorders>
              <w:top w:val="single" w:sz="4" w:space="0" w:color="auto"/>
              <w:left w:val="single" w:sz="4" w:space="0" w:color="auto"/>
              <w:bottom w:val="single" w:sz="4" w:space="0" w:color="auto"/>
              <w:right w:val="single" w:sz="4" w:space="0" w:color="auto"/>
            </w:tcBorders>
            <w:shd w:val="clear" w:color="auto" w:fill="auto"/>
          </w:tcPr>
          <w:p w14:paraId="04849D2A"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46</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6E8E08EE"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23.0</w:t>
            </w:r>
          </w:p>
        </w:tc>
        <w:tc>
          <w:tcPr>
            <w:tcW w:w="1462" w:type="dxa"/>
            <w:tcBorders>
              <w:top w:val="single" w:sz="4" w:space="0" w:color="auto"/>
              <w:left w:val="single" w:sz="4" w:space="0" w:color="auto"/>
              <w:bottom w:val="single" w:sz="4" w:space="0" w:color="auto"/>
              <w:right w:val="single" w:sz="4" w:space="0" w:color="auto"/>
            </w:tcBorders>
            <w:shd w:val="clear" w:color="auto" w:fill="auto"/>
          </w:tcPr>
          <w:p w14:paraId="59F986E6"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23.0</w:t>
            </w:r>
          </w:p>
        </w:tc>
        <w:tc>
          <w:tcPr>
            <w:tcW w:w="1666" w:type="dxa"/>
            <w:tcBorders>
              <w:top w:val="single" w:sz="4" w:space="0" w:color="auto"/>
              <w:left w:val="single" w:sz="4" w:space="0" w:color="auto"/>
              <w:bottom w:val="single" w:sz="4" w:space="0" w:color="auto"/>
              <w:right w:val="single" w:sz="4" w:space="0" w:color="auto"/>
            </w:tcBorders>
            <w:shd w:val="clear" w:color="auto" w:fill="auto"/>
          </w:tcPr>
          <w:p w14:paraId="54B909E2"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78.0</w:t>
            </w:r>
          </w:p>
        </w:tc>
      </w:tr>
      <w:tr w:rsidR="004E0431" w:rsidRPr="004E0431" w14:paraId="025AFA4C" w14:textId="77777777" w:rsidTr="00BC2511">
        <w:tc>
          <w:tcPr>
            <w:tcW w:w="833" w:type="dxa"/>
            <w:vMerge/>
            <w:tcBorders>
              <w:top w:val="single" w:sz="4" w:space="0" w:color="auto"/>
              <w:left w:val="single" w:sz="4" w:space="0" w:color="auto"/>
              <w:bottom w:val="single" w:sz="4" w:space="0" w:color="auto"/>
              <w:right w:val="single" w:sz="4" w:space="0" w:color="auto"/>
            </w:tcBorders>
            <w:shd w:val="clear" w:color="auto" w:fill="auto"/>
          </w:tcPr>
          <w:p w14:paraId="437F8CDE" w14:textId="77777777" w:rsidR="00CD5BAE" w:rsidRPr="004E0431" w:rsidRDefault="00CD5BAE" w:rsidP="00475FA2">
            <w:pPr>
              <w:spacing w:before="120" w:line="276" w:lineRule="auto"/>
              <w:contextualSpacing/>
              <w:rPr>
                <w:sz w:val="20"/>
                <w:szCs w:val="20"/>
              </w:rPr>
            </w:pPr>
          </w:p>
        </w:tc>
        <w:tc>
          <w:tcPr>
            <w:tcW w:w="1326" w:type="dxa"/>
            <w:tcBorders>
              <w:top w:val="single" w:sz="4" w:space="0" w:color="auto"/>
              <w:left w:val="single" w:sz="4" w:space="0" w:color="auto"/>
              <w:bottom w:val="single" w:sz="4" w:space="0" w:color="auto"/>
              <w:right w:val="single" w:sz="4" w:space="0" w:color="auto"/>
            </w:tcBorders>
            <w:shd w:val="clear" w:color="auto" w:fill="auto"/>
          </w:tcPr>
          <w:p w14:paraId="0F4BFCF7" w14:textId="77777777" w:rsidR="00CD5BAE" w:rsidRPr="004E0431" w:rsidRDefault="00CD5BAE" w:rsidP="00475FA2">
            <w:pPr>
              <w:spacing w:before="120" w:line="276" w:lineRule="auto"/>
              <w:contextualSpacing/>
              <w:rPr>
                <w:sz w:val="20"/>
                <w:szCs w:val="20"/>
              </w:rPr>
            </w:pPr>
            <w:r w:rsidRPr="004E0431">
              <w:rPr>
                <w:rFonts w:eastAsia="Arial"/>
                <w:sz w:val="20"/>
                <w:szCs w:val="20"/>
              </w:rPr>
              <w:t>Rarely</w:t>
            </w:r>
          </w:p>
        </w:tc>
        <w:tc>
          <w:tcPr>
            <w:tcW w:w="1207" w:type="dxa"/>
            <w:tcBorders>
              <w:top w:val="single" w:sz="4" w:space="0" w:color="auto"/>
              <w:left w:val="single" w:sz="4" w:space="0" w:color="auto"/>
              <w:bottom w:val="single" w:sz="4" w:space="0" w:color="auto"/>
              <w:right w:val="single" w:sz="4" w:space="0" w:color="auto"/>
            </w:tcBorders>
            <w:shd w:val="clear" w:color="auto" w:fill="auto"/>
          </w:tcPr>
          <w:p w14:paraId="71343AD0"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44</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7BC12868"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22.0</w:t>
            </w:r>
          </w:p>
        </w:tc>
        <w:tc>
          <w:tcPr>
            <w:tcW w:w="1462" w:type="dxa"/>
            <w:tcBorders>
              <w:top w:val="single" w:sz="4" w:space="0" w:color="auto"/>
              <w:left w:val="single" w:sz="4" w:space="0" w:color="auto"/>
              <w:bottom w:val="single" w:sz="4" w:space="0" w:color="auto"/>
              <w:right w:val="single" w:sz="4" w:space="0" w:color="auto"/>
            </w:tcBorders>
            <w:shd w:val="clear" w:color="auto" w:fill="auto"/>
          </w:tcPr>
          <w:p w14:paraId="3C381EE2"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22.0</w:t>
            </w:r>
          </w:p>
        </w:tc>
        <w:tc>
          <w:tcPr>
            <w:tcW w:w="1666" w:type="dxa"/>
            <w:tcBorders>
              <w:top w:val="single" w:sz="4" w:space="0" w:color="auto"/>
              <w:left w:val="single" w:sz="4" w:space="0" w:color="auto"/>
              <w:bottom w:val="single" w:sz="4" w:space="0" w:color="auto"/>
              <w:right w:val="single" w:sz="4" w:space="0" w:color="auto"/>
            </w:tcBorders>
            <w:shd w:val="clear" w:color="auto" w:fill="auto"/>
          </w:tcPr>
          <w:p w14:paraId="50059CBE"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100.0</w:t>
            </w:r>
          </w:p>
        </w:tc>
      </w:tr>
      <w:tr w:rsidR="004E0431" w:rsidRPr="004E0431" w14:paraId="0A5431E1" w14:textId="77777777" w:rsidTr="00BC2511">
        <w:tc>
          <w:tcPr>
            <w:tcW w:w="833" w:type="dxa"/>
            <w:vMerge/>
            <w:tcBorders>
              <w:top w:val="single" w:sz="4" w:space="0" w:color="auto"/>
              <w:left w:val="single" w:sz="4" w:space="0" w:color="auto"/>
              <w:bottom w:val="single" w:sz="4" w:space="0" w:color="auto"/>
              <w:right w:val="single" w:sz="4" w:space="0" w:color="auto"/>
            </w:tcBorders>
            <w:shd w:val="clear" w:color="auto" w:fill="auto"/>
          </w:tcPr>
          <w:p w14:paraId="7740DDD8" w14:textId="77777777" w:rsidR="00CD5BAE" w:rsidRPr="004E0431" w:rsidRDefault="00CD5BAE" w:rsidP="00475FA2">
            <w:pPr>
              <w:spacing w:before="120" w:line="276" w:lineRule="auto"/>
              <w:contextualSpacing/>
              <w:rPr>
                <w:sz w:val="20"/>
                <w:szCs w:val="20"/>
              </w:rPr>
            </w:pPr>
          </w:p>
        </w:tc>
        <w:tc>
          <w:tcPr>
            <w:tcW w:w="1326" w:type="dxa"/>
            <w:tcBorders>
              <w:top w:val="single" w:sz="4" w:space="0" w:color="auto"/>
              <w:left w:val="single" w:sz="4" w:space="0" w:color="auto"/>
              <w:bottom w:val="single" w:sz="4" w:space="0" w:color="auto"/>
              <w:right w:val="single" w:sz="4" w:space="0" w:color="auto"/>
            </w:tcBorders>
            <w:shd w:val="clear" w:color="auto" w:fill="auto"/>
          </w:tcPr>
          <w:p w14:paraId="0E8B9612" w14:textId="77777777" w:rsidR="00CD5BAE" w:rsidRPr="004E0431" w:rsidRDefault="00CD5BAE" w:rsidP="00475FA2">
            <w:pPr>
              <w:spacing w:before="120" w:line="276" w:lineRule="auto"/>
              <w:contextualSpacing/>
              <w:rPr>
                <w:sz w:val="20"/>
                <w:szCs w:val="20"/>
              </w:rPr>
            </w:pPr>
            <w:r w:rsidRPr="004E0431">
              <w:rPr>
                <w:rFonts w:eastAsia="Arial"/>
                <w:sz w:val="20"/>
                <w:szCs w:val="20"/>
              </w:rPr>
              <w:t>Total</w:t>
            </w:r>
          </w:p>
        </w:tc>
        <w:tc>
          <w:tcPr>
            <w:tcW w:w="1207" w:type="dxa"/>
            <w:tcBorders>
              <w:top w:val="single" w:sz="4" w:space="0" w:color="auto"/>
              <w:left w:val="single" w:sz="4" w:space="0" w:color="auto"/>
              <w:bottom w:val="single" w:sz="4" w:space="0" w:color="auto"/>
              <w:right w:val="single" w:sz="4" w:space="0" w:color="auto"/>
            </w:tcBorders>
            <w:shd w:val="clear" w:color="auto" w:fill="auto"/>
          </w:tcPr>
          <w:p w14:paraId="1C08D8A1"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200</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1A6B52C9"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100.0</w:t>
            </w:r>
          </w:p>
        </w:tc>
        <w:tc>
          <w:tcPr>
            <w:tcW w:w="1462" w:type="dxa"/>
            <w:tcBorders>
              <w:top w:val="single" w:sz="4" w:space="0" w:color="auto"/>
              <w:left w:val="single" w:sz="4" w:space="0" w:color="auto"/>
              <w:bottom w:val="single" w:sz="4" w:space="0" w:color="auto"/>
              <w:right w:val="single" w:sz="4" w:space="0" w:color="auto"/>
            </w:tcBorders>
            <w:shd w:val="clear" w:color="auto" w:fill="auto"/>
          </w:tcPr>
          <w:p w14:paraId="2253A8A3"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100.0</w:t>
            </w:r>
          </w:p>
        </w:tc>
        <w:tc>
          <w:tcPr>
            <w:tcW w:w="1666" w:type="dxa"/>
            <w:tcBorders>
              <w:top w:val="single" w:sz="4" w:space="0" w:color="auto"/>
              <w:left w:val="single" w:sz="4" w:space="0" w:color="auto"/>
              <w:bottom w:val="single" w:sz="4" w:space="0" w:color="auto"/>
              <w:right w:val="single" w:sz="4" w:space="0" w:color="auto"/>
            </w:tcBorders>
            <w:shd w:val="clear" w:color="auto" w:fill="auto"/>
          </w:tcPr>
          <w:p w14:paraId="7E7930DB" w14:textId="77777777" w:rsidR="00CD5BAE" w:rsidRPr="004E0431" w:rsidRDefault="00CD5BAE" w:rsidP="00475FA2">
            <w:pPr>
              <w:spacing w:before="120" w:line="276" w:lineRule="auto"/>
              <w:contextualSpacing/>
              <w:rPr>
                <w:sz w:val="20"/>
                <w:szCs w:val="20"/>
              </w:rPr>
            </w:pPr>
          </w:p>
        </w:tc>
      </w:tr>
    </w:tbl>
    <w:p w14:paraId="09CD850F" w14:textId="05D4470C" w:rsidR="00CD5BAE" w:rsidRPr="0001291E" w:rsidRDefault="00CD5BAE" w:rsidP="00475FA2">
      <w:pPr>
        <w:spacing w:before="120" w:line="276" w:lineRule="auto"/>
        <w:rPr>
          <w:sz w:val="20"/>
          <w:szCs w:val="20"/>
        </w:rPr>
      </w:pPr>
      <w:r w:rsidRPr="0001291E">
        <w:rPr>
          <w:sz w:val="20"/>
          <w:szCs w:val="20"/>
        </w:rPr>
        <w:lastRenderedPageBreak/>
        <w:t xml:space="preserve">                      </w:t>
      </w:r>
      <w:r w:rsidRPr="0001291E">
        <w:rPr>
          <w:noProof/>
          <w:sz w:val="20"/>
          <w:szCs w:val="20"/>
          <w:lang w:val="en-IN" w:eastAsia="en-IN"/>
        </w:rPr>
        <w:drawing>
          <wp:inline distT="0" distB="0" distL="0" distR="0" wp14:anchorId="7EC4D248" wp14:editId="75426CE4">
            <wp:extent cx="4124325" cy="2133600"/>
            <wp:effectExtent l="0" t="0" r="9525" b="0"/>
            <wp:docPr id="376055818" name="Chart 1">
              <a:extLst xmlns:a="http://schemas.openxmlformats.org/drawingml/2006/main">
                <a:ext uri="{FF2B5EF4-FFF2-40B4-BE49-F238E27FC236}">
                  <a16:creationId xmlns:a16="http://schemas.microsoft.com/office/drawing/2014/main" id="{59F4B214-905C-726E-99BE-FE09CF7002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7263131" w14:textId="77777777" w:rsidR="00475FA2" w:rsidRDefault="00475FA2" w:rsidP="00475FA2">
      <w:pPr>
        <w:spacing w:before="120" w:line="276" w:lineRule="auto"/>
        <w:rPr>
          <w:b/>
          <w:bCs/>
          <w:sz w:val="20"/>
          <w:szCs w:val="20"/>
        </w:rPr>
        <w:sectPr w:rsidR="00475FA2" w:rsidSect="00475FA2">
          <w:type w:val="continuous"/>
          <w:pgSz w:w="12240" w:h="15840" w:code="1"/>
          <w:pgMar w:top="1440" w:right="1440" w:bottom="1440" w:left="1440" w:header="706" w:footer="706" w:gutter="0"/>
          <w:cols w:space="720"/>
          <w:docGrid w:linePitch="299"/>
        </w:sectPr>
      </w:pPr>
    </w:p>
    <w:p w14:paraId="212C0ED7" w14:textId="77777777" w:rsidR="00CD5BAE" w:rsidRPr="0001291E" w:rsidRDefault="00CD5BAE" w:rsidP="00475FA2">
      <w:pPr>
        <w:spacing w:before="120" w:line="276" w:lineRule="auto"/>
        <w:rPr>
          <w:b/>
          <w:bCs/>
          <w:sz w:val="20"/>
          <w:szCs w:val="20"/>
        </w:rPr>
      </w:pPr>
      <w:r w:rsidRPr="0001291E">
        <w:rPr>
          <w:b/>
          <w:bCs/>
          <w:sz w:val="20"/>
          <w:szCs w:val="20"/>
        </w:rPr>
        <w:t>Interpretation:</w:t>
      </w:r>
    </w:p>
    <w:p w14:paraId="324206E7" w14:textId="77777777" w:rsidR="00CD5BAE" w:rsidRPr="0001291E" w:rsidRDefault="00CD5BAE" w:rsidP="00475FA2">
      <w:pPr>
        <w:spacing w:before="120" w:line="276" w:lineRule="auto"/>
        <w:jc w:val="both"/>
        <w:rPr>
          <w:sz w:val="20"/>
          <w:szCs w:val="20"/>
        </w:rPr>
      </w:pPr>
      <w:r w:rsidRPr="0001291E">
        <w:rPr>
          <w:sz w:val="20"/>
          <w:szCs w:val="20"/>
        </w:rPr>
        <w:t xml:space="preserve">The table below shows how often respondents consider ESG factors when making investment decisions. It is clear that 35% of respondents often take ESG factors into account, indicating that a significant portion actively integrates sustainability considerations into their investment strategies. 20% of respondents always consider ESG factors, demonstrating a strong commitment to sustainable </w:t>
      </w:r>
      <w:r w:rsidRPr="0001291E">
        <w:rPr>
          <w:sz w:val="20"/>
          <w:szCs w:val="20"/>
        </w:rPr>
        <w:t>investing. Meanwhile, 23% consider ESG factors sometimes, suggesting that for some investors, ESG considerations play a role but are not a primary focus. 22% of respondents rarely factor in ESG considerations, indicating that a notable portion of investors still prioritize other financial metrics over sustainability. Overall, the data suggests that while ESG awareness is growing, it is not yet a universal priority, with investment decisions still largely influenced by traditional financial factors.</w:t>
      </w:r>
    </w:p>
    <w:p w14:paraId="5F39E876" w14:textId="77777777" w:rsidR="00475FA2" w:rsidRDefault="00475FA2" w:rsidP="00475FA2">
      <w:pPr>
        <w:spacing w:before="120" w:line="276" w:lineRule="auto"/>
        <w:jc w:val="center"/>
        <w:rPr>
          <w:rFonts w:eastAsia="Arial"/>
          <w:b/>
          <w:color w:val="010205"/>
          <w:sz w:val="20"/>
          <w:szCs w:val="20"/>
        </w:rPr>
        <w:sectPr w:rsidR="00475FA2" w:rsidSect="00475FA2">
          <w:type w:val="continuous"/>
          <w:pgSz w:w="12240" w:h="15840" w:code="1"/>
          <w:pgMar w:top="1440" w:right="1440" w:bottom="1440" w:left="1440" w:header="706" w:footer="706" w:gutter="0"/>
          <w:cols w:num="2" w:space="720"/>
          <w:docGrid w:linePitch="299"/>
        </w:sectPr>
      </w:pPr>
    </w:p>
    <w:p w14:paraId="27DDFF49" w14:textId="3ADE0A25" w:rsidR="00CD5BAE" w:rsidRPr="0001291E" w:rsidRDefault="00CD5BAE" w:rsidP="00475FA2">
      <w:pPr>
        <w:spacing w:before="120" w:line="276" w:lineRule="auto"/>
        <w:jc w:val="center"/>
        <w:rPr>
          <w:rFonts w:eastAsia="Arial"/>
          <w:b/>
          <w:color w:val="010205"/>
          <w:sz w:val="20"/>
          <w:szCs w:val="20"/>
        </w:rPr>
      </w:pPr>
      <w:r w:rsidRPr="0001291E">
        <w:rPr>
          <w:rFonts w:eastAsia="Arial"/>
          <w:b/>
          <w:color w:val="010205"/>
          <w:sz w:val="20"/>
          <w:szCs w:val="20"/>
        </w:rPr>
        <w:t>Would you like to learn more about ESG investing?</w:t>
      </w:r>
    </w:p>
    <w:tbl>
      <w:tblPr>
        <w:tblW w:w="0" w:type="auto"/>
        <w:tblInd w:w="937" w:type="dxa"/>
        <w:tblLayout w:type="fixed"/>
        <w:tblCellMar>
          <w:left w:w="10" w:type="dxa"/>
          <w:right w:w="10" w:type="dxa"/>
        </w:tblCellMar>
        <w:tblLook w:val="04A0" w:firstRow="1" w:lastRow="0" w:firstColumn="1" w:lastColumn="0" w:noHBand="0" w:noVBand="1"/>
      </w:tblPr>
      <w:tblGrid>
        <w:gridCol w:w="833"/>
        <w:gridCol w:w="833"/>
        <w:gridCol w:w="1207"/>
        <w:gridCol w:w="1156"/>
        <w:gridCol w:w="1462"/>
        <w:gridCol w:w="1666"/>
      </w:tblGrid>
      <w:tr w:rsidR="004E0431" w:rsidRPr="004E0431" w14:paraId="57C593D6" w14:textId="77777777" w:rsidTr="00BC2511">
        <w:tc>
          <w:tcPr>
            <w:tcW w:w="166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5802AF8" w14:textId="77777777" w:rsidR="00CD5BAE" w:rsidRPr="004E0431" w:rsidRDefault="00CD5BAE" w:rsidP="00475FA2">
            <w:pPr>
              <w:spacing w:before="120" w:line="276" w:lineRule="auto"/>
              <w:contextualSpacing/>
              <w:rPr>
                <w:sz w:val="20"/>
                <w:szCs w:val="20"/>
              </w:rPr>
            </w:pPr>
          </w:p>
        </w:tc>
        <w:tc>
          <w:tcPr>
            <w:tcW w:w="1207" w:type="dxa"/>
            <w:tcBorders>
              <w:top w:val="single" w:sz="4" w:space="0" w:color="auto"/>
              <w:left w:val="single" w:sz="4" w:space="0" w:color="auto"/>
              <w:bottom w:val="single" w:sz="4" w:space="0" w:color="auto"/>
              <w:right w:val="single" w:sz="4" w:space="0" w:color="auto"/>
            </w:tcBorders>
            <w:shd w:val="clear" w:color="auto" w:fill="auto"/>
            <w:vAlign w:val="bottom"/>
          </w:tcPr>
          <w:p w14:paraId="30FD3DD7" w14:textId="77777777" w:rsidR="00CD5BAE" w:rsidRPr="004E0431" w:rsidRDefault="00CD5BAE" w:rsidP="00475FA2">
            <w:pPr>
              <w:spacing w:before="120" w:line="276" w:lineRule="auto"/>
              <w:contextualSpacing/>
              <w:jc w:val="center"/>
              <w:rPr>
                <w:sz w:val="20"/>
                <w:szCs w:val="20"/>
              </w:rPr>
            </w:pPr>
            <w:r w:rsidRPr="004E0431">
              <w:rPr>
                <w:rFonts w:eastAsia="Arial"/>
                <w:sz w:val="20"/>
                <w:szCs w:val="20"/>
              </w:rPr>
              <w:t>Frequency</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bottom"/>
          </w:tcPr>
          <w:p w14:paraId="7E3A4176" w14:textId="77777777" w:rsidR="00CD5BAE" w:rsidRPr="004E0431" w:rsidRDefault="00CD5BAE" w:rsidP="00475FA2">
            <w:pPr>
              <w:spacing w:before="120" w:line="276" w:lineRule="auto"/>
              <w:contextualSpacing/>
              <w:jc w:val="center"/>
              <w:rPr>
                <w:sz w:val="20"/>
                <w:szCs w:val="20"/>
              </w:rPr>
            </w:pPr>
            <w:r w:rsidRPr="004E0431">
              <w:rPr>
                <w:rFonts w:eastAsia="Arial"/>
                <w:sz w:val="20"/>
                <w:szCs w:val="20"/>
              </w:rPr>
              <w:t>Percent</w:t>
            </w:r>
          </w:p>
        </w:tc>
        <w:tc>
          <w:tcPr>
            <w:tcW w:w="1462" w:type="dxa"/>
            <w:tcBorders>
              <w:top w:val="single" w:sz="4" w:space="0" w:color="auto"/>
              <w:left w:val="single" w:sz="4" w:space="0" w:color="auto"/>
              <w:bottom w:val="single" w:sz="4" w:space="0" w:color="auto"/>
              <w:right w:val="single" w:sz="4" w:space="0" w:color="auto"/>
            </w:tcBorders>
            <w:shd w:val="clear" w:color="auto" w:fill="auto"/>
            <w:vAlign w:val="bottom"/>
          </w:tcPr>
          <w:p w14:paraId="1BEE3C56" w14:textId="77777777" w:rsidR="00CD5BAE" w:rsidRPr="004E0431" w:rsidRDefault="00CD5BAE" w:rsidP="00475FA2">
            <w:pPr>
              <w:spacing w:before="120" w:line="276" w:lineRule="auto"/>
              <w:contextualSpacing/>
              <w:jc w:val="center"/>
              <w:rPr>
                <w:sz w:val="20"/>
                <w:szCs w:val="20"/>
              </w:rPr>
            </w:pPr>
            <w:r w:rsidRPr="004E0431">
              <w:rPr>
                <w:rFonts w:eastAsia="Arial"/>
                <w:sz w:val="20"/>
                <w:szCs w:val="20"/>
              </w:rPr>
              <w:t>Valid Percent</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bottom"/>
          </w:tcPr>
          <w:p w14:paraId="1D8D7B72" w14:textId="77777777" w:rsidR="00CD5BAE" w:rsidRPr="004E0431" w:rsidRDefault="00CD5BAE" w:rsidP="00475FA2">
            <w:pPr>
              <w:spacing w:before="120" w:line="276" w:lineRule="auto"/>
              <w:contextualSpacing/>
              <w:jc w:val="center"/>
              <w:rPr>
                <w:sz w:val="20"/>
                <w:szCs w:val="20"/>
              </w:rPr>
            </w:pPr>
            <w:r w:rsidRPr="004E0431">
              <w:rPr>
                <w:rFonts w:eastAsia="Arial"/>
                <w:sz w:val="20"/>
                <w:szCs w:val="20"/>
              </w:rPr>
              <w:t>Cumulative Percent</w:t>
            </w:r>
          </w:p>
        </w:tc>
      </w:tr>
      <w:tr w:rsidR="004E0431" w:rsidRPr="004E0431" w14:paraId="50F9536D" w14:textId="77777777" w:rsidTr="00BC2511">
        <w:tc>
          <w:tcPr>
            <w:tcW w:w="833" w:type="dxa"/>
            <w:vMerge w:val="restart"/>
            <w:tcBorders>
              <w:top w:val="single" w:sz="4" w:space="0" w:color="auto"/>
              <w:left w:val="single" w:sz="4" w:space="0" w:color="auto"/>
              <w:bottom w:val="single" w:sz="4" w:space="0" w:color="auto"/>
              <w:right w:val="single" w:sz="4" w:space="0" w:color="auto"/>
            </w:tcBorders>
            <w:shd w:val="clear" w:color="auto" w:fill="auto"/>
          </w:tcPr>
          <w:p w14:paraId="51C56743" w14:textId="77777777" w:rsidR="00CD5BAE" w:rsidRPr="004E0431" w:rsidRDefault="00CD5BAE" w:rsidP="00475FA2">
            <w:pPr>
              <w:spacing w:before="120" w:line="276" w:lineRule="auto"/>
              <w:contextualSpacing/>
              <w:rPr>
                <w:sz w:val="20"/>
                <w:szCs w:val="20"/>
              </w:rPr>
            </w:pPr>
            <w:r w:rsidRPr="004E0431">
              <w:rPr>
                <w:rFonts w:eastAsia="Arial"/>
                <w:sz w:val="20"/>
                <w:szCs w:val="20"/>
              </w:rPr>
              <w:t>Valid</w:t>
            </w:r>
          </w:p>
        </w:tc>
        <w:tc>
          <w:tcPr>
            <w:tcW w:w="833" w:type="dxa"/>
            <w:tcBorders>
              <w:top w:val="single" w:sz="4" w:space="0" w:color="auto"/>
              <w:left w:val="single" w:sz="4" w:space="0" w:color="auto"/>
              <w:bottom w:val="single" w:sz="4" w:space="0" w:color="auto"/>
              <w:right w:val="single" w:sz="4" w:space="0" w:color="auto"/>
            </w:tcBorders>
            <w:shd w:val="clear" w:color="auto" w:fill="auto"/>
          </w:tcPr>
          <w:p w14:paraId="1D174C1C" w14:textId="77777777" w:rsidR="00CD5BAE" w:rsidRPr="004E0431" w:rsidRDefault="00CD5BAE" w:rsidP="00475FA2">
            <w:pPr>
              <w:spacing w:before="120" w:line="276" w:lineRule="auto"/>
              <w:contextualSpacing/>
              <w:rPr>
                <w:sz w:val="20"/>
                <w:szCs w:val="20"/>
              </w:rPr>
            </w:pPr>
            <w:r w:rsidRPr="004E0431">
              <w:rPr>
                <w:rFonts w:eastAsia="Arial"/>
                <w:sz w:val="20"/>
                <w:szCs w:val="20"/>
              </w:rPr>
              <w:t>Yes</w:t>
            </w:r>
          </w:p>
        </w:tc>
        <w:tc>
          <w:tcPr>
            <w:tcW w:w="1207" w:type="dxa"/>
            <w:tcBorders>
              <w:top w:val="single" w:sz="4" w:space="0" w:color="auto"/>
              <w:left w:val="single" w:sz="4" w:space="0" w:color="auto"/>
              <w:bottom w:val="single" w:sz="4" w:space="0" w:color="auto"/>
              <w:right w:val="single" w:sz="4" w:space="0" w:color="auto"/>
            </w:tcBorders>
            <w:shd w:val="clear" w:color="auto" w:fill="auto"/>
          </w:tcPr>
          <w:p w14:paraId="21CF8EB0"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164</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32A1B87A"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82.0</w:t>
            </w:r>
          </w:p>
        </w:tc>
        <w:tc>
          <w:tcPr>
            <w:tcW w:w="1462" w:type="dxa"/>
            <w:tcBorders>
              <w:top w:val="single" w:sz="4" w:space="0" w:color="auto"/>
              <w:left w:val="single" w:sz="4" w:space="0" w:color="auto"/>
              <w:bottom w:val="single" w:sz="4" w:space="0" w:color="auto"/>
              <w:right w:val="single" w:sz="4" w:space="0" w:color="auto"/>
            </w:tcBorders>
            <w:shd w:val="clear" w:color="auto" w:fill="auto"/>
          </w:tcPr>
          <w:p w14:paraId="012EDF30"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82.0</w:t>
            </w:r>
          </w:p>
        </w:tc>
        <w:tc>
          <w:tcPr>
            <w:tcW w:w="1666" w:type="dxa"/>
            <w:tcBorders>
              <w:top w:val="single" w:sz="4" w:space="0" w:color="auto"/>
              <w:left w:val="single" w:sz="4" w:space="0" w:color="auto"/>
              <w:bottom w:val="single" w:sz="4" w:space="0" w:color="auto"/>
              <w:right w:val="single" w:sz="4" w:space="0" w:color="auto"/>
            </w:tcBorders>
            <w:shd w:val="clear" w:color="auto" w:fill="auto"/>
          </w:tcPr>
          <w:p w14:paraId="7E34F71F"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82.0</w:t>
            </w:r>
          </w:p>
        </w:tc>
      </w:tr>
      <w:tr w:rsidR="004E0431" w:rsidRPr="004E0431" w14:paraId="3E92B67C" w14:textId="77777777" w:rsidTr="00BC2511">
        <w:tc>
          <w:tcPr>
            <w:tcW w:w="833" w:type="dxa"/>
            <w:vMerge/>
            <w:tcBorders>
              <w:top w:val="single" w:sz="4" w:space="0" w:color="auto"/>
              <w:left w:val="single" w:sz="4" w:space="0" w:color="auto"/>
              <w:bottom w:val="single" w:sz="4" w:space="0" w:color="auto"/>
              <w:right w:val="single" w:sz="4" w:space="0" w:color="auto"/>
            </w:tcBorders>
            <w:shd w:val="clear" w:color="auto" w:fill="auto"/>
          </w:tcPr>
          <w:p w14:paraId="08026906" w14:textId="77777777" w:rsidR="00CD5BAE" w:rsidRPr="004E0431" w:rsidRDefault="00CD5BAE" w:rsidP="00475FA2">
            <w:pPr>
              <w:spacing w:before="120" w:line="276" w:lineRule="auto"/>
              <w:contextualSpacing/>
              <w:rPr>
                <w:sz w:val="20"/>
                <w:szCs w:val="20"/>
              </w:rPr>
            </w:pPr>
          </w:p>
        </w:tc>
        <w:tc>
          <w:tcPr>
            <w:tcW w:w="833" w:type="dxa"/>
            <w:tcBorders>
              <w:top w:val="single" w:sz="4" w:space="0" w:color="auto"/>
              <w:left w:val="single" w:sz="4" w:space="0" w:color="auto"/>
              <w:bottom w:val="single" w:sz="4" w:space="0" w:color="auto"/>
              <w:right w:val="single" w:sz="4" w:space="0" w:color="auto"/>
            </w:tcBorders>
            <w:shd w:val="clear" w:color="auto" w:fill="auto"/>
          </w:tcPr>
          <w:p w14:paraId="5F83B849" w14:textId="77777777" w:rsidR="00CD5BAE" w:rsidRPr="004E0431" w:rsidRDefault="00CD5BAE" w:rsidP="00475FA2">
            <w:pPr>
              <w:spacing w:before="120" w:line="276" w:lineRule="auto"/>
              <w:contextualSpacing/>
              <w:rPr>
                <w:sz w:val="20"/>
                <w:szCs w:val="20"/>
              </w:rPr>
            </w:pPr>
            <w:r w:rsidRPr="004E0431">
              <w:rPr>
                <w:rFonts w:eastAsia="Arial"/>
                <w:sz w:val="20"/>
                <w:szCs w:val="20"/>
              </w:rPr>
              <w:t>No</w:t>
            </w:r>
          </w:p>
        </w:tc>
        <w:tc>
          <w:tcPr>
            <w:tcW w:w="1207" w:type="dxa"/>
            <w:tcBorders>
              <w:top w:val="single" w:sz="4" w:space="0" w:color="auto"/>
              <w:left w:val="single" w:sz="4" w:space="0" w:color="auto"/>
              <w:bottom w:val="single" w:sz="4" w:space="0" w:color="auto"/>
              <w:right w:val="single" w:sz="4" w:space="0" w:color="auto"/>
            </w:tcBorders>
            <w:shd w:val="clear" w:color="auto" w:fill="auto"/>
          </w:tcPr>
          <w:p w14:paraId="5B41AFB2"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36</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01FE1E14"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18.0</w:t>
            </w:r>
          </w:p>
        </w:tc>
        <w:tc>
          <w:tcPr>
            <w:tcW w:w="1462" w:type="dxa"/>
            <w:tcBorders>
              <w:top w:val="single" w:sz="4" w:space="0" w:color="auto"/>
              <w:left w:val="single" w:sz="4" w:space="0" w:color="auto"/>
              <w:bottom w:val="single" w:sz="4" w:space="0" w:color="auto"/>
              <w:right w:val="single" w:sz="4" w:space="0" w:color="auto"/>
            </w:tcBorders>
            <w:shd w:val="clear" w:color="auto" w:fill="auto"/>
          </w:tcPr>
          <w:p w14:paraId="0CD493A6"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18.0</w:t>
            </w:r>
          </w:p>
        </w:tc>
        <w:tc>
          <w:tcPr>
            <w:tcW w:w="1666" w:type="dxa"/>
            <w:tcBorders>
              <w:top w:val="single" w:sz="4" w:space="0" w:color="auto"/>
              <w:left w:val="single" w:sz="4" w:space="0" w:color="auto"/>
              <w:bottom w:val="single" w:sz="4" w:space="0" w:color="auto"/>
              <w:right w:val="single" w:sz="4" w:space="0" w:color="auto"/>
            </w:tcBorders>
            <w:shd w:val="clear" w:color="auto" w:fill="auto"/>
          </w:tcPr>
          <w:p w14:paraId="52310B7E"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100.0</w:t>
            </w:r>
          </w:p>
        </w:tc>
      </w:tr>
      <w:tr w:rsidR="004E0431" w:rsidRPr="004E0431" w14:paraId="2F280AD8" w14:textId="77777777" w:rsidTr="00BC2511">
        <w:tc>
          <w:tcPr>
            <w:tcW w:w="833" w:type="dxa"/>
            <w:vMerge/>
            <w:tcBorders>
              <w:top w:val="single" w:sz="4" w:space="0" w:color="auto"/>
              <w:left w:val="single" w:sz="4" w:space="0" w:color="auto"/>
              <w:bottom w:val="single" w:sz="4" w:space="0" w:color="auto"/>
              <w:right w:val="single" w:sz="4" w:space="0" w:color="auto"/>
            </w:tcBorders>
            <w:shd w:val="clear" w:color="auto" w:fill="auto"/>
          </w:tcPr>
          <w:p w14:paraId="1D6F75CF" w14:textId="77777777" w:rsidR="00CD5BAE" w:rsidRPr="004E0431" w:rsidRDefault="00CD5BAE" w:rsidP="00475FA2">
            <w:pPr>
              <w:spacing w:before="120" w:line="276" w:lineRule="auto"/>
              <w:contextualSpacing/>
              <w:rPr>
                <w:sz w:val="20"/>
                <w:szCs w:val="20"/>
              </w:rPr>
            </w:pPr>
          </w:p>
        </w:tc>
        <w:tc>
          <w:tcPr>
            <w:tcW w:w="833" w:type="dxa"/>
            <w:tcBorders>
              <w:top w:val="single" w:sz="4" w:space="0" w:color="auto"/>
              <w:left w:val="single" w:sz="4" w:space="0" w:color="auto"/>
              <w:bottom w:val="single" w:sz="4" w:space="0" w:color="auto"/>
              <w:right w:val="single" w:sz="4" w:space="0" w:color="auto"/>
            </w:tcBorders>
            <w:shd w:val="clear" w:color="auto" w:fill="auto"/>
          </w:tcPr>
          <w:p w14:paraId="580759F8" w14:textId="77777777" w:rsidR="00CD5BAE" w:rsidRPr="004E0431" w:rsidRDefault="00CD5BAE" w:rsidP="00475FA2">
            <w:pPr>
              <w:spacing w:before="120" w:line="276" w:lineRule="auto"/>
              <w:contextualSpacing/>
              <w:rPr>
                <w:sz w:val="20"/>
                <w:szCs w:val="20"/>
              </w:rPr>
            </w:pPr>
            <w:r w:rsidRPr="004E0431">
              <w:rPr>
                <w:rFonts w:eastAsia="Arial"/>
                <w:sz w:val="20"/>
                <w:szCs w:val="20"/>
              </w:rPr>
              <w:t>Total</w:t>
            </w:r>
          </w:p>
        </w:tc>
        <w:tc>
          <w:tcPr>
            <w:tcW w:w="1207" w:type="dxa"/>
            <w:tcBorders>
              <w:top w:val="single" w:sz="4" w:space="0" w:color="auto"/>
              <w:left w:val="single" w:sz="4" w:space="0" w:color="auto"/>
              <w:bottom w:val="single" w:sz="4" w:space="0" w:color="auto"/>
              <w:right w:val="single" w:sz="4" w:space="0" w:color="auto"/>
            </w:tcBorders>
            <w:shd w:val="clear" w:color="auto" w:fill="auto"/>
          </w:tcPr>
          <w:p w14:paraId="2D135BC8"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200</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5AB4D595"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100.0</w:t>
            </w:r>
          </w:p>
        </w:tc>
        <w:tc>
          <w:tcPr>
            <w:tcW w:w="1462" w:type="dxa"/>
            <w:tcBorders>
              <w:top w:val="single" w:sz="4" w:space="0" w:color="auto"/>
              <w:left w:val="single" w:sz="4" w:space="0" w:color="auto"/>
              <w:bottom w:val="single" w:sz="4" w:space="0" w:color="auto"/>
              <w:right w:val="single" w:sz="4" w:space="0" w:color="auto"/>
            </w:tcBorders>
            <w:shd w:val="clear" w:color="auto" w:fill="auto"/>
          </w:tcPr>
          <w:p w14:paraId="66728B5F"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100.0</w:t>
            </w:r>
          </w:p>
        </w:tc>
        <w:tc>
          <w:tcPr>
            <w:tcW w:w="1666" w:type="dxa"/>
            <w:tcBorders>
              <w:top w:val="single" w:sz="4" w:space="0" w:color="auto"/>
              <w:left w:val="single" w:sz="4" w:space="0" w:color="auto"/>
              <w:bottom w:val="single" w:sz="4" w:space="0" w:color="auto"/>
              <w:right w:val="single" w:sz="4" w:space="0" w:color="auto"/>
            </w:tcBorders>
            <w:shd w:val="clear" w:color="auto" w:fill="auto"/>
          </w:tcPr>
          <w:p w14:paraId="535997F9" w14:textId="77777777" w:rsidR="00CD5BAE" w:rsidRPr="004E0431" w:rsidRDefault="00CD5BAE" w:rsidP="00475FA2">
            <w:pPr>
              <w:spacing w:before="120" w:line="276" w:lineRule="auto"/>
              <w:contextualSpacing/>
              <w:rPr>
                <w:sz w:val="20"/>
                <w:szCs w:val="20"/>
              </w:rPr>
            </w:pPr>
          </w:p>
        </w:tc>
      </w:tr>
    </w:tbl>
    <w:p w14:paraId="7E672194" w14:textId="71FAFB30" w:rsidR="00CD5BAE" w:rsidRPr="0001291E" w:rsidRDefault="00CD5BAE" w:rsidP="00475FA2">
      <w:pPr>
        <w:spacing w:before="120" w:line="276" w:lineRule="auto"/>
        <w:rPr>
          <w:rFonts w:eastAsia="Arial"/>
          <w:b/>
          <w:color w:val="010205"/>
          <w:sz w:val="20"/>
          <w:szCs w:val="20"/>
        </w:rPr>
      </w:pPr>
      <w:r w:rsidRPr="0001291E">
        <w:rPr>
          <w:sz w:val="20"/>
          <w:szCs w:val="20"/>
        </w:rPr>
        <w:t xml:space="preserve">     </w:t>
      </w:r>
      <w:r w:rsidRPr="0001291E">
        <w:rPr>
          <w:rFonts w:eastAsia="Arial"/>
          <w:b/>
          <w:color w:val="010205"/>
          <w:sz w:val="20"/>
          <w:szCs w:val="20"/>
        </w:rPr>
        <w:t xml:space="preserve">               </w:t>
      </w:r>
      <w:r w:rsidRPr="0001291E">
        <w:rPr>
          <w:noProof/>
          <w:sz w:val="20"/>
          <w:szCs w:val="20"/>
          <w:lang w:val="en-IN" w:eastAsia="en-IN"/>
        </w:rPr>
        <w:drawing>
          <wp:inline distT="0" distB="0" distL="0" distR="0" wp14:anchorId="2FA47E99" wp14:editId="75F65BA1">
            <wp:extent cx="4251960" cy="2339340"/>
            <wp:effectExtent l="0" t="0" r="15240" b="3810"/>
            <wp:docPr id="1025701927" name="Chart 1">
              <a:extLst xmlns:a="http://schemas.openxmlformats.org/drawingml/2006/main">
                <a:ext uri="{FF2B5EF4-FFF2-40B4-BE49-F238E27FC236}">
                  <a16:creationId xmlns:a16="http://schemas.microsoft.com/office/drawing/2014/main" id="{C4EA4AFA-4386-36CB-E086-F94E3A304E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1291E">
        <w:rPr>
          <w:rFonts w:eastAsia="Arial"/>
          <w:b/>
          <w:color w:val="010205"/>
          <w:sz w:val="20"/>
          <w:szCs w:val="20"/>
        </w:rPr>
        <w:t xml:space="preserve">             </w:t>
      </w:r>
    </w:p>
    <w:p w14:paraId="07FD7BCD" w14:textId="77777777" w:rsidR="00CD5BAE" w:rsidRPr="0001291E" w:rsidRDefault="00CD5BAE" w:rsidP="00475FA2">
      <w:pPr>
        <w:spacing w:before="120" w:line="276" w:lineRule="auto"/>
        <w:rPr>
          <w:rFonts w:eastAsia="Arial"/>
          <w:b/>
          <w:color w:val="010205"/>
          <w:sz w:val="20"/>
          <w:szCs w:val="20"/>
        </w:rPr>
      </w:pPr>
    </w:p>
    <w:p w14:paraId="6567E63B" w14:textId="77777777" w:rsidR="00475FA2" w:rsidRDefault="00475FA2" w:rsidP="00475FA2">
      <w:pPr>
        <w:spacing w:before="120" w:line="276" w:lineRule="auto"/>
        <w:rPr>
          <w:b/>
          <w:bCs/>
          <w:sz w:val="20"/>
          <w:szCs w:val="20"/>
        </w:rPr>
        <w:sectPr w:rsidR="00475FA2" w:rsidSect="00475FA2">
          <w:type w:val="continuous"/>
          <w:pgSz w:w="12240" w:h="15840" w:code="1"/>
          <w:pgMar w:top="1440" w:right="1440" w:bottom="1440" w:left="1440" w:header="706" w:footer="706" w:gutter="0"/>
          <w:cols w:space="720"/>
          <w:docGrid w:linePitch="299"/>
        </w:sectPr>
      </w:pPr>
    </w:p>
    <w:p w14:paraId="67347DF5" w14:textId="77777777" w:rsidR="00CD5BAE" w:rsidRPr="0001291E" w:rsidRDefault="00CD5BAE" w:rsidP="00475FA2">
      <w:pPr>
        <w:spacing w:before="120" w:line="276" w:lineRule="auto"/>
        <w:rPr>
          <w:b/>
          <w:bCs/>
          <w:sz w:val="20"/>
          <w:szCs w:val="20"/>
        </w:rPr>
      </w:pPr>
      <w:r w:rsidRPr="0001291E">
        <w:rPr>
          <w:b/>
          <w:bCs/>
          <w:sz w:val="20"/>
          <w:szCs w:val="20"/>
        </w:rPr>
        <w:lastRenderedPageBreak/>
        <w:t>Interpretation:</w:t>
      </w:r>
    </w:p>
    <w:p w14:paraId="63D10E99" w14:textId="77777777" w:rsidR="00CD5BAE" w:rsidRPr="0001291E" w:rsidRDefault="00CD5BAE" w:rsidP="00475FA2">
      <w:pPr>
        <w:spacing w:before="120" w:line="276" w:lineRule="auto"/>
        <w:jc w:val="both"/>
        <w:rPr>
          <w:sz w:val="20"/>
          <w:szCs w:val="20"/>
        </w:rPr>
      </w:pPr>
      <w:r w:rsidRPr="0001291E">
        <w:rPr>
          <w:sz w:val="20"/>
          <w:szCs w:val="20"/>
        </w:rPr>
        <w:t xml:space="preserve">The table below shows respondents' interest in learning more about ESG investing. It is clear that 82% of respondents expressed a willingness to gain more knowledge about ESG investing, indicating strong curiosity and potential for increased adoption if provided with the right resources and education. </w:t>
      </w:r>
      <w:r w:rsidRPr="0001291E">
        <w:rPr>
          <w:sz w:val="20"/>
          <w:szCs w:val="20"/>
        </w:rPr>
        <w:t>Meanwhile, 18% of respondents are not interested in learning more, suggesting that some investors may either already feel well-informed or do not see ESG investing as relevant to their financial goals. Overall, the data suggests that there is significant demand for ESG-related education, which could lead to greater awareness and participation in sustainable investing.</w:t>
      </w:r>
    </w:p>
    <w:p w14:paraId="5DF84CE8" w14:textId="77777777" w:rsidR="00475FA2" w:rsidRDefault="00475FA2" w:rsidP="00475FA2">
      <w:pPr>
        <w:spacing w:before="120" w:line="276" w:lineRule="auto"/>
        <w:jc w:val="center"/>
        <w:rPr>
          <w:rFonts w:eastAsia="Arial"/>
          <w:b/>
          <w:color w:val="010205"/>
          <w:sz w:val="20"/>
          <w:szCs w:val="20"/>
        </w:rPr>
        <w:sectPr w:rsidR="00475FA2" w:rsidSect="00475FA2">
          <w:type w:val="continuous"/>
          <w:pgSz w:w="12240" w:h="15840" w:code="1"/>
          <w:pgMar w:top="1440" w:right="1440" w:bottom="1440" w:left="1440" w:header="706" w:footer="706" w:gutter="0"/>
          <w:cols w:num="2" w:space="720"/>
          <w:docGrid w:linePitch="299"/>
        </w:sectPr>
      </w:pPr>
    </w:p>
    <w:p w14:paraId="2E0C4EE5" w14:textId="77777777" w:rsidR="00CD5BAE" w:rsidRPr="0001291E" w:rsidRDefault="00CD5BAE" w:rsidP="00475FA2">
      <w:pPr>
        <w:spacing w:before="120" w:line="276" w:lineRule="auto"/>
        <w:jc w:val="center"/>
        <w:rPr>
          <w:rFonts w:eastAsia="Arial"/>
          <w:b/>
          <w:color w:val="010205"/>
          <w:sz w:val="20"/>
          <w:szCs w:val="20"/>
        </w:rPr>
      </w:pPr>
      <w:r w:rsidRPr="0001291E">
        <w:rPr>
          <w:rFonts w:eastAsia="Arial"/>
          <w:b/>
          <w:color w:val="010205"/>
          <w:sz w:val="20"/>
          <w:szCs w:val="20"/>
        </w:rPr>
        <w:t>What would encourage you to invest more in ESG-compliant products?</w:t>
      </w:r>
    </w:p>
    <w:p w14:paraId="64ED34D1" w14:textId="77777777" w:rsidR="00CD5BAE" w:rsidRPr="0001291E" w:rsidRDefault="00CD5BAE" w:rsidP="00475FA2">
      <w:pPr>
        <w:spacing w:before="120" w:line="276" w:lineRule="auto"/>
        <w:rPr>
          <w:sz w:val="20"/>
          <w:szCs w:val="20"/>
        </w:rPr>
      </w:pPr>
    </w:p>
    <w:tbl>
      <w:tblPr>
        <w:tblW w:w="0" w:type="auto"/>
        <w:jc w:val="center"/>
        <w:tblLayout w:type="fixed"/>
        <w:tblCellMar>
          <w:left w:w="10" w:type="dxa"/>
          <w:right w:w="10" w:type="dxa"/>
        </w:tblCellMar>
        <w:tblLook w:val="04A0" w:firstRow="1" w:lastRow="0" w:firstColumn="1" w:lastColumn="0" w:noHBand="0" w:noVBand="1"/>
      </w:tblPr>
      <w:tblGrid>
        <w:gridCol w:w="833"/>
        <w:gridCol w:w="2788"/>
        <w:gridCol w:w="1207"/>
        <w:gridCol w:w="1156"/>
        <w:gridCol w:w="1462"/>
        <w:gridCol w:w="1666"/>
      </w:tblGrid>
      <w:tr w:rsidR="004E0431" w:rsidRPr="004E0431" w14:paraId="379744D1" w14:textId="77777777" w:rsidTr="00493138">
        <w:trPr>
          <w:jc w:val="center"/>
        </w:trPr>
        <w:tc>
          <w:tcPr>
            <w:tcW w:w="362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2A9F66E" w14:textId="77777777" w:rsidR="00CD5BAE" w:rsidRPr="004E0431" w:rsidRDefault="00CD5BAE" w:rsidP="00475FA2">
            <w:pPr>
              <w:spacing w:before="120" w:line="276" w:lineRule="auto"/>
              <w:contextualSpacing/>
              <w:rPr>
                <w:sz w:val="20"/>
                <w:szCs w:val="20"/>
              </w:rPr>
            </w:pPr>
            <w:bookmarkStart w:id="1" w:name="_Hlk195646465"/>
          </w:p>
        </w:tc>
        <w:tc>
          <w:tcPr>
            <w:tcW w:w="1207" w:type="dxa"/>
            <w:tcBorders>
              <w:top w:val="single" w:sz="4" w:space="0" w:color="auto"/>
              <w:left w:val="single" w:sz="4" w:space="0" w:color="auto"/>
              <w:bottom w:val="single" w:sz="4" w:space="0" w:color="auto"/>
              <w:right w:val="single" w:sz="4" w:space="0" w:color="auto"/>
            </w:tcBorders>
            <w:shd w:val="clear" w:color="auto" w:fill="auto"/>
            <w:vAlign w:val="bottom"/>
          </w:tcPr>
          <w:p w14:paraId="1D5F8CC4" w14:textId="77777777" w:rsidR="00CD5BAE" w:rsidRPr="004E0431" w:rsidRDefault="00CD5BAE" w:rsidP="00475FA2">
            <w:pPr>
              <w:spacing w:before="120" w:line="276" w:lineRule="auto"/>
              <w:contextualSpacing/>
              <w:jc w:val="center"/>
              <w:rPr>
                <w:sz w:val="20"/>
                <w:szCs w:val="20"/>
              </w:rPr>
            </w:pPr>
            <w:r w:rsidRPr="004E0431">
              <w:rPr>
                <w:rFonts w:eastAsia="Arial"/>
                <w:sz w:val="20"/>
                <w:szCs w:val="20"/>
              </w:rPr>
              <w:t>Frequency</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bottom"/>
          </w:tcPr>
          <w:p w14:paraId="75A7F485" w14:textId="77777777" w:rsidR="00CD5BAE" w:rsidRPr="004E0431" w:rsidRDefault="00CD5BAE" w:rsidP="00475FA2">
            <w:pPr>
              <w:spacing w:before="120" w:line="276" w:lineRule="auto"/>
              <w:contextualSpacing/>
              <w:jc w:val="center"/>
              <w:rPr>
                <w:sz w:val="20"/>
                <w:szCs w:val="20"/>
              </w:rPr>
            </w:pPr>
            <w:r w:rsidRPr="004E0431">
              <w:rPr>
                <w:rFonts w:eastAsia="Arial"/>
                <w:sz w:val="20"/>
                <w:szCs w:val="20"/>
              </w:rPr>
              <w:t>Percent</w:t>
            </w:r>
          </w:p>
        </w:tc>
        <w:tc>
          <w:tcPr>
            <w:tcW w:w="1462" w:type="dxa"/>
            <w:tcBorders>
              <w:top w:val="single" w:sz="4" w:space="0" w:color="auto"/>
              <w:left w:val="single" w:sz="4" w:space="0" w:color="auto"/>
              <w:bottom w:val="single" w:sz="4" w:space="0" w:color="auto"/>
              <w:right w:val="single" w:sz="4" w:space="0" w:color="auto"/>
            </w:tcBorders>
            <w:shd w:val="clear" w:color="auto" w:fill="auto"/>
            <w:vAlign w:val="bottom"/>
          </w:tcPr>
          <w:p w14:paraId="475C90CC" w14:textId="77777777" w:rsidR="00CD5BAE" w:rsidRPr="004E0431" w:rsidRDefault="00CD5BAE" w:rsidP="00475FA2">
            <w:pPr>
              <w:spacing w:before="120" w:line="276" w:lineRule="auto"/>
              <w:contextualSpacing/>
              <w:jc w:val="center"/>
              <w:rPr>
                <w:sz w:val="20"/>
                <w:szCs w:val="20"/>
              </w:rPr>
            </w:pPr>
            <w:r w:rsidRPr="004E0431">
              <w:rPr>
                <w:rFonts w:eastAsia="Arial"/>
                <w:sz w:val="20"/>
                <w:szCs w:val="20"/>
              </w:rPr>
              <w:t>Valid Percent</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bottom"/>
          </w:tcPr>
          <w:p w14:paraId="452BACF6" w14:textId="77777777" w:rsidR="00CD5BAE" w:rsidRPr="004E0431" w:rsidRDefault="00CD5BAE" w:rsidP="00475FA2">
            <w:pPr>
              <w:spacing w:before="120" w:line="276" w:lineRule="auto"/>
              <w:contextualSpacing/>
              <w:jc w:val="center"/>
              <w:rPr>
                <w:sz w:val="20"/>
                <w:szCs w:val="20"/>
              </w:rPr>
            </w:pPr>
            <w:r w:rsidRPr="004E0431">
              <w:rPr>
                <w:rFonts w:eastAsia="Arial"/>
                <w:sz w:val="20"/>
                <w:szCs w:val="20"/>
              </w:rPr>
              <w:t>Cumulative Percent</w:t>
            </w:r>
          </w:p>
        </w:tc>
      </w:tr>
      <w:tr w:rsidR="004E0431" w:rsidRPr="004E0431" w14:paraId="110878B0" w14:textId="77777777" w:rsidTr="00493138">
        <w:trPr>
          <w:jc w:val="center"/>
        </w:trPr>
        <w:tc>
          <w:tcPr>
            <w:tcW w:w="833" w:type="dxa"/>
            <w:vMerge w:val="restart"/>
            <w:tcBorders>
              <w:top w:val="single" w:sz="4" w:space="0" w:color="auto"/>
              <w:left w:val="single" w:sz="4" w:space="0" w:color="auto"/>
              <w:bottom w:val="single" w:sz="4" w:space="0" w:color="auto"/>
              <w:right w:val="single" w:sz="4" w:space="0" w:color="auto"/>
            </w:tcBorders>
            <w:shd w:val="clear" w:color="auto" w:fill="auto"/>
          </w:tcPr>
          <w:p w14:paraId="4137CB89" w14:textId="77777777" w:rsidR="00CD5BAE" w:rsidRPr="004E0431" w:rsidRDefault="00CD5BAE" w:rsidP="00475FA2">
            <w:pPr>
              <w:spacing w:before="120" w:line="276" w:lineRule="auto"/>
              <w:contextualSpacing/>
              <w:rPr>
                <w:sz w:val="20"/>
                <w:szCs w:val="20"/>
              </w:rPr>
            </w:pPr>
            <w:r w:rsidRPr="004E0431">
              <w:rPr>
                <w:rFonts w:eastAsia="Arial"/>
                <w:sz w:val="20"/>
                <w:szCs w:val="20"/>
              </w:rPr>
              <w:t>Valid</w:t>
            </w:r>
          </w:p>
        </w:tc>
        <w:tc>
          <w:tcPr>
            <w:tcW w:w="2788" w:type="dxa"/>
            <w:tcBorders>
              <w:top w:val="single" w:sz="4" w:space="0" w:color="auto"/>
              <w:left w:val="single" w:sz="4" w:space="0" w:color="auto"/>
              <w:bottom w:val="single" w:sz="4" w:space="0" w:color="auto"/>
              <w:right w:val="single" w:sz="4" w:space="0" w:color="auto"/>
            </w:tcBorders>
            <w:shd w:val="clear" w:color="auto" w:fill="auto"/>
          </w:tcPr>
          <w:p w14:paraId="148816CC" w14:textId="77777777" w:rsidR="00CD5BAE" w:rsidRPr="004E0431" w:rsidRDefault="00CD5BAE" w:rsidP="00475FA2">
            <w:pPr>
              <w:spacing w:before="120" w:line="276" w:lineRule="auto"/>
              <w:contextualSpacing/>
              <w:rPr>
                <w:sz w:val="20"/>
                <w:szCs w:val="20"/>
              </w:rPr>
            </w:pPr>
            <w:r w:rsidRPr="004E0431">
              <w:rPr>
                <w:rFonts w:eastAsia="Arial"/>
                <w:sz w:val="20"/>
                <w:szCs w:val="20"/>
              </w:rPr>
              <w:t>Higher Returns</w:t>
            </w:r>
          </w:p>
        </w:tc>
        <w:tc>
          <w:tcPr>
            <w:tcW w:w="1207" w:type="dxa"/>
            <w:tcBorders>
              <w:top w:val="single" w:sz="4" w:space="0" w:color="auto"/>
              <w:left w:val="single" w:sz="4" w:space="0" w:color="auto"/>
              <w:bottom w:val="single" w:sz="4" w:space="0" w:color="auto"/>
              <w:right w:val="single" w:sz="4" w:space="0" w:color="auto"/>
            </w:tcBorders>
            <w:shd w:val="clear" w:color="auto" w:fill="auto"/>
          </w:tcPr>
          <w:p w14:paraId="43DF4349" w14:textId="77777777" w:rsidR="00CD5BAE" w:rsidRPr="004E0431" w:rsidRDefault="00CD5BAE" w:rsidP="00493138">
            <w:pPr>
              <w:spacing w:before="120" w:line="276" w:lineRule="auto"/>
              <w:contextualSpacing/>
              <w:jc w:val="center"/>
              <w:rPr>
                <w:sz w:val="20"/>
                <w:szCs w:val="20"/>
              </w:rPr>
            </w:pPr>
            <w:r w:rsidRPr="004E0431">
              <w:rPr>
                <w:rFonts w:eastAsia="Arial"/>
                <w:sz w:val="20"/>
                <w:szCs w:val="20"/>
              </w:rPr>
              <w:t>70</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672523AE" w14:textId="77777777" w:rsidR="00CD5BAE" w:rsidRPr="004E0431" w:rsidRDefault="00CD5BAE" w:rsidP="00493138">
            <w:pPr>
              <w:spacing w:before="120" w:line="276" w:lineRule="auto"/>
              <w:contextualSpacing/>
              <w:jc w:val="center"/>
              <w:rPr>
                <w:sz w:val="20"/>
                <w:szCs w:val="20"/>
              </w:rPr>
            </w:pPr>
            <w:r w:rsidRPr="004E0431">
              <w:rPr>
                <w:rFonts w:eastAsia="Arial"/>
                <w:sz w:val="20"/>
                <w:szCs w:val="20"/>
              </w:rPr>
              <w:t>35.0</w:t>
            </w:r>
          </w:p>
        </w:tc>
        <w:tc>
          <w:tcPr>
            <w:tcW w:w="1462" w:type="dxa"/>
            <w:tcBorders>
              <w:top w:val="single" w:sz="4" w:space="0" w:color="auto"/>
              <w:left w:val="single" w:sz="4" w:space="0" w:color="auto"/>
              <w:bottom w:val="single" w:sz="4" w:space="0" w:color="auto"/>
              <w:right w:val="single" w:sz="4" w:space="0" w:color="auto"/>
            </w:tcBorders>
            <w:shd w:val="clear" w:color="auto" w:fill="auto"/>
          </w:tcPr>
          <w:p w14:paraId="16D6B416" w14:textId="77777777" w:rsidR="00CD5BAE" w:rsidRPr="004E0431" w:rsidRDefault="00CD5BAE" w:rsidP="00493138">
            <w:pPr>
              <w:spacing w:before="120" w:line="276" w:lineRule="auto"/>
              <w:contextualSpacing/>
              <w:jc w:val="center"/>
              <w:rPr>
                <w:sz w:val="20"/>
                <w:szCs w:val="20"/>
              </w:rPr>
            </w:pPr>
            <w:r w:rsidRPr="004E0431">
              <w:rPr>
                <w:rFonts w:eastAsia="Arial"/>
                <w:sz w:val="20"/>
                <w:szCs w:val="20"/>
              </w:rPr>
              <w:t>35.0</w:t>
            </w:r>
          </w:p>
        </w:tc>
        <w:tc>
          <w:tcPr>
            <w:tcW w:w="1666" w:type="dxa"/>
            <w:tcBorders>
              <w:top w:val="single" w:sz="4" w:space="0" w:color="auto"/>
              <w:left w:val="single" w:sz="4" w:space="0" w:color="auto"/>
              <w:bottom w:val="single" w:sz="4" w:space="0" w:color="auto"/>
              <w:right w:val="single" w:sz="4" w:space="0" w:color="auto"/>
            </w:tcBorders>
            <w:shd w:val="clear" w:color="auto" w:fill="auto"/>
          </w:tcPr>
          <w:p w14:paraId="45C77CB8" w14:textId="77777777" w:rsidR="00CD5BAE" w:rsidRPr="004E0431" w:rsidRDefault="00CD5BAE" w:rsidP="00493138">
            <w:pPr>
              <w:spacing w:before="120" w:line="276" w:lineRule="auto"/>
              <w:contextualSpacing/>
              <w:jc w:val="center"/>
              <w:rPr>
                <w:sz w:val="20"/>
                <w:szCs w:val="20"/>
              </w:rPr>
            </w:pPr>
            <w:r w:rsidRPr="004E0431">
              <w:rPr>
                <w:rFonts w:eastAsia="Arial"/>
                <w:sz w:val="20"/>
                <w:szCs w:val="20"/>
              </w:rPr>
              <w:t>35.0</w:t>
            </w:r>
          </w:p>
        </w:tc>
      </w:tr>
      <w:tr w:rsidR="004E0431" w:rsidRPr="004E0431" w14:paraId="29A67EA7" w14:textId="77777777" w:rsidTr="00493138">
        <w:trPr>
          <w:jc w:val="center"/>
        </w:trPr>
        <w:tc>
          <w:tcPr>
            <w:tcW w:w="833" w:type="dxa"/>
            <w:vMerge/>
            <w:tcBorders>
              <w:top w:val="single" w:sz="4" w:space="0" w:color="auto"/>
              <w:left w:val="single" w:sz="4" w:space="0" w:color="auto"/>
              <w:bottom w:val="single" w:sz="4" w:space="0" w:color="auto"/>
              <w:right w:val="single" w:sz="4" w:space="0" w:color="auto"/>
            </w:tcBorders>
            <w:shd w:val="clear" w:color="auto" w:fill="auto"/>
          </w:tcPr>
          <w:p w14:paraId="0D0AA340" w14:textId="77777777" w:rsidR="00CD5BAE" w:rsidRPr="004E0431" w:rsidRDefault="00CD5BAE" w:rsidP="00475FA2">
            <w:pPr>
              <w:spacing w:before="120" w:line="276" w:lineRule="auto"/>
              <w:contextualSpacing/>
              <w:rPr>
                <w:sz w:val="20"/>
                <w:szCs w:val="20"/>
              </w:rPr>
            </w:pPr>
          </w:p>
        </w:tc>
        <w:tc>
          <w:tcPr>
            <w:tcW w:w="2788" w:type="dxa"/>
            <w:tcBorders>
              <w:top w:val="single" w:sz="4" w:space="0" w:color="auto"/>
              <w:left w:val="single" w:sz="4" w:space="0" w:color="auto"/>
              <w:bottom w:val="single" w:sz="4" w:space="0" w:color="auto"/>
              <w:right w:val="single" w:sz="4" w:space="0" w:color="auto"/>
            </w:tcBorders>
            <w:shd w:val="clear" w:color="auto" w:fill="auto"/>
          </w:tcPr>
          <w:p w14:paraId="6C258146" w14:textId="77777777" w:rsidR="00CD5BAE" w:rsidRPr="004E0431" w:rsidRDefault="00CD5BAE" w:rsidP="00475FA2">
            <w:pPr>
              <w:spacing w:before="120" w:line="276" w:lineRule="auto"/>
              <w:contextualSpacing/>
              <w:rPr>
                <w:sz w:val="20"/>
                <w:szCs w:val="20"/>
              </w:rPr>
            </w:pPr>
            <w:r w:rsidRPr="004E0431">
              <w:rPr>
                <w:rFonts w:eastAsia="Arial"/>
                <w:sz w:val="20"/>
                <w:szCs w:val="20"/>
              </w:rPr>
              <w:t>Improved Awareness and Education</w:t>
            </w:r>
          </w:p>
        </w:tc>
        <w:tc>
          <w:tcPr>
            <w:tcW w:w="1207" w:type="dxa"/>
            <w:tcBorders>
              <w:top w:val="single" w:sz="4" w:space="0" w:color="auto"/>
              <w:left w:val="single" w:sz="4" w:space="0" w:color="auto"/>
              <w:bottom w:val="single" w:sz="4" w:space="0" w:color="auto"/>
              <w:right w:val="single" w:sz="4" w:space="0" w:color="auto"/>
            </w:tcBorders>
            <w:shd w:val="clear" w:color="auto" w:fill="auto"/>
          </w:tcPr>
          <w:p w14:paraId="75DD4F04" w14:textId="77777777" w:rsidR="00CD5BAE" w:rsidRPr="004E0431" w:rsidRDefault="00CD5BAE" w:rsidP="00493138">
            <w:pPr>
              <w:spacing w:before="120" w:line="276" w:lineRule="auto"/>
              <w:contextualSpacing/>
              <w:jc w:val="center"/>
              <w:rPr>
                <w:sz w:val="20"/>
                <w:szCs w:val="20"/>
              </w:rPr>
            </w:pPr>
            <w:r w:rsidRPr="004E0431">
              <w:rPr>
                <w:rFonts w:eastAsia="Arial"/>
                <w:sz w:val="20"/>
                <w:szCs w:val="20"/>
              </w:rPr>
              <w:t>86</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462D3E92" w14:textId="77777777" w:rsidR="00CD5BAE" w:rsidRPr="004E0431" w:rsidRDefault="00CD5BAE" w:rsidP="00493138">
            <w:pPr>
              <w:spacing w:before="120" w:line="276" w:lineRule="auto"/>
              <w:contextualSpacing/>
              <w:jc w:val="center"/>
              <w:rPr>
                <w:sz w:val="20"/>
                <w:szCs w:val="20"/>
              </w:rPr>
            </w:pPr>
            <w:r w:rsidRPr="004E0431">
              <w:rPr>
                <w:rFonts w:eastAsia="Arial"/>
                <w:sz w:val="20"/>
                <w:szCs w:val="20"/>
              </w:rPr>
              <w:t>43.0</w:t>
            </w:r>
          </w:p>
        </w:tc>
        <w:tc>
          <w:tcPr>
            <w:tcW w:w="1462" w:type="dxa"/>
            <w:tcBorders>
              <w:top w:val="single" w:sz="4" w:space="0" w:color="auto"/>
              <w:left w:val="single" w:sz="4" w:space="0" w:color="auto"/>
              <w:bottom w:val="single" w:sz="4" w:space="0" w:color="auto"/>
              <w:right w:val="single" w:sz="4" w:space="0" w:color="auto"/>
            </w:tcBorders>
            <w:shd w:val="clear" w:color="auto" w:fill="auto"/>
          </w:tcPr>
          <w:p w14:paraId="50C63317" w14:textId="77777777" w:rsidR="00CD5BAE" w:rsidRPr="004E0431" w:rsidRDefault="00CD5BAE" w:rsidP="00493138">
            <w:pPr>
              <w:spacing w:before="120" w:line="276" w:lineRule="auto"/>
              <w:contextualSpacing/>
              <w:jc w:val="center"/>
              <w:rPr>
                <w:sz w:val="20"/>
                <w:szCs w:val="20"/>
              </w:rPr>
            </w:pPr>
            <w:r w:rsidRPr="004E0431">
              <w:rPr>
                <w:rFonts w:eastAsia="Arial"/>
                <w:sz w:val="20"/>
                <w:szCs w:val="20"/>
              </w:rPr>
              <w:t>43.0</w:t>
            </w:r>
          </w:p>
        </w:tc>
        <w:tc>
          <w:tcPr>
            <w:tcW w:w="1666" w:type="dxa"/>
            <w:tcBorders>
              <w:top w:val="single" w:sz="4" w:space="0" w:color="auto"/>
              <w:left w:val="single" w:sz="4" w:space="0" w:color="auto"/>
              <w:bottom w:val="single" w:sz="4" w:space="0" w:color="auto"/>
              <w:right w:val="single" w:sz="4" w:space="0" w:color="auto"/>
            </w:tcBorders>
            <w:shd w:val="clear" w:color="auto" w:fill="auto"/>
          </w:tcPr>
          <w:p w14:paraId="5EA2E134" w14:textId="77777777" w:rsidR="00CD5BAE" w:rsidRPr="004E0431" w:rsidRDefault="00CD5BAE" w:rsidP="00493138">
            <w:pPr>
              <w:spacing w:before="120" w:line="276" w:lineRule="auto"/>
              <w:contextualSpacing/>
              <w:jc w:val="center"/>
              <w:rPr>
                <w:sz w:val="20"/>
                <w:szCs w:val="20"/>
              </w:rPr>
            </w:pPr>
            <w:r w:rsidRPr="004E0431">
              <w:rPr>
                <w:rFonts w:eastAsia="Arial"/>
                <w:sz w:val="20"/>
                <w:szCs w:val="20"/>
              </w:rPr>
              <w:t>78.0</w:t>
            </w:r>
          </w:p>
        </w:tc>
      </w:tr>
      <w:tr w:rsidR="004E0431" w:rsidRPr="004E0431" w14:paraId="7E0F4E36" w14:textId="77777777" w:rsidTr="00493138">
        <w:trPr>
          <w:jc w:val="center"/>
        </w:trPr>
        <w:tc>
          <w:tcPr>
            <w:tcW w:w="833" w:type="dxa"/>
            <w:vMerge/>
            <w:tcBorders>
              <w:top w:val="single" w:sz="4" w:space="0" w:color="auto"/>
              <w:left w:val="single" w:sz="4" w:space="0" w:color="auto"/>
              <w:bottom w:val="single" w:sz="4" w:space="0" w:color="auto"/>
              <w:right w:val="single" w:sz="4" w:space="0" w:color="auto"/>
            </w:tcBorders>
            <w:shd w:val="clear" w:color="auto" w:fill="auto"/>
          </w:tcPr>
          <w:p w14:paraId="7355A2AF" w14:textId="77777777" w:rsidR="00CD5BAE" w:rsidRPr="004E0431" w:rsidRDefault="00CD5BAE" w:rsidP="00475FA2">
            <w:pPr>
              <w:spacing w:before="120" w:line="276" w:lineRule="auto"/>
              <w:contextualSpacing/>
              <w:rPr>
                <w:sz w:val="20"/>
                <w:szCs w:val="20"/>
              </w:rPr>
            </w:pPr>
          </w:p>
        </w:tc>
        <w:tc>
          <w:tcPr>
            <w:tcW w:w="2788" w:type="dxa"/>
            <w:tcBorders>
              <w:top w:val="single" w:sz="4" w:space="0" w:color="auto"/>
              <w:left w:val="single" w:sz="4" w:space="0" w:color="auto"/>
              <w:bottom w:val="single" w:sz="4" w:space="0" w:color="auto"/>
              <w:right w:val="single" w:sz="4" w:space="0" w:color="auto"/>
            </w:tcBorders>
            <w:shd w:val="clear" w:color="auto" w:fill="auto"/>
          </w:tcPr>
          <w:p w14:paraId="374F017F" w14:textId="77777777" w:rsidR="00CD5BAE" w:rsidRPr="004E0431" w:rsidRDefault="00CD5BAE" w:rsidP="00475FA2">
            <w:pPr>
              <w:spacing w:before="120" w:line="276" w:lineRule="auto"/>
              <w:contextualSpacing/>
              <w:rPr>
                <w:sz w:val="20"/>
                <w:szCs w:val="20"/>
              </w:rPr>
            </w:pPr>
            <w:r w:rsidRPr="004E0431">
              <w:rPr>
                <w:rFonts w:eastAsia="Arial"/>
                <w:sz w:val="20"/>
                <w:szCs w:val="20"/>
              </w:rPr>
              <w:t>Wider Product Availability</w:t>
            </w:r>
          </w:p>
        </w:tc>
        <w:tc>
          <w:tcPr>
            <w:tcW w:w="1207" w:type="dxa"/>
            <w:tcBorders>
              <w:top w:val="single" w:sz="4" w:space="0" w:color="auto"/>
              <w:left w:val="single" w:sz="4" w:space="0" w:color="auto"/>
              <w:bottom w:val="single" w:sz="4" w:space="0" w:color="auto"/>
              <w:right w:val="single" w:sz="4" w:space="0" w:color="auto"/>
            </w:tcBorders>
            <w:shd w:val="clear" w:color="auto" w:fill="auto"/>
          </w:tcPr>
          <w:p w14:paraId="6CF92A98" w14:textId="77777777" w:rsidR="00CD5BAE" w:rsidRPr="004E0431" w:rsidRDefault="00CD5BAE" w:rsidP="00493138">
            <w:pPr>
              <w:spacing w:before="120" w:line="276" w:lineRule="auto"/>
              <w:contextualSpacing/>
              <w:jc w:val="center"/>
              <w:rPr>
                <w:sz w:val="20"/>
                <w:szCs w:val="20"/>
              </w:rPr>
            </w:pPr>
            <w:r w:rsidRPr="004E0431">
              <w:rPr>
                <w:rFonts w:eastAsia="Arial"/>
                <w:sz w:val="20"/>
                <w:szCs w:val="20"/>
              </w:rPr>
              <w:t>30</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2DE3F1AC" w14:textId="77777777" w:rsidR="00CD5BAE" w:rsidRPr="004E0431" w:rsidRDefault="00CD5BAE" w:rsidP="00493138">
            <w:pPr>
              <w:spacing w:before="120" w:line="276" w:lineRule="auto"/>
              <w:contextualSpacing/>
              <w:jc w:val="center"/>
              <w:rPr>
                <w:sz w:val="20"/>
                <w:szCs w:val="20"/>
              </w:rPr>
            </w:pPr>
            <w:r w:rsidRPr="004E0431">
              <w:rPr>
                <w:rFonts w:eastAsia="Arial"/>
                <w:sz w:val="20"/>
                <w:szCs w:val="20"/>
              </w:rPr>
              <w:t>15.0</w:t>
            </w:r>
          </w:p>
        </w:tc>
        <w:tc>
          <w:tcPr>
            <w:tcW w:w="1462" w:type="dxa"/>
            <w:tcBorders>
              <w:top w:val="single" w:sz="4" w:space="0" w:color="auto"/>
              <w:left w:val="single" w:sz="4" w:space="0" w:color="auto"/>
              <w:bottom w:val="single" w:sz="4" w:space="0" w:color="auto"/>
              <w:right w:val="single" w:sz="4" w:space="0" w:color="auto"/>
            </w:tcBorders>
            <w:shd w:val="clear" w:color="auto" w:fill="auto"/>
          </w:tcPr>
          <w:p w14:paraId="1CBB0F0E" w14:textId="77777777" w:rsidR="00CD5BAE" w:rsidRPr="004E0431" w:rsidRDefault="00CD5BAE" w:rsidP="00493138">
            <w:pPr>
              <w:spacing w:before="120" w:line="276" w:lineRule="auto"/>
              <w:contextualSpacing/>
              <w:jc w:val="center"/>
              <w:rPr>
                <w:sz w:val="20"/>
                <w:szCs w:val="20"/>
              </w:rPr>
            </w:pPr>
            <w:r w:rsidRPr="004E0431">
              <w:rPr>
                <w:rFonts w:eastAsia="Arial"/>
                <w:sz w:val="20"/>
                <w:szCs w:val="20"/>
              </w:rPr>
              <w:t>15.0</w:t>
            </w:r>
          </w:p>
        </w:tc>
        <w:tc>
          <w:tcPr>
            <w:tcW w:w="1666" w:type="dxa"/>
            <w:tcBorders>
              <w:top w:val="single" w:sz="4" w:space="0" w:color="auto"/>
              <w:left w:val="single" w:sz="4" w:space="0" w:color="auto"/>
              <w:bottom w:val="single" w:sz="4" w:space="0" w:color="auto"/>
              <w:right w:val="single" w:sz="4" w:space="0" w:color="auto"/>
            </w:tcBorders>
            <w:shd w:val="clear" w:color="auto" w:fill="auto"/>
          </w:tcPr>
          <w:p w14:paraId="4F3D4F12" w14:textId="77777777" w:rsidR="00CD5BAE" w:rsidRPr="004E0431" w:rsidRDefault="00CD5BAE" w:rsidP="00493138">
            <w:pPr>
              <w:spacing w:before="120" w:line="276" w:lineRule="auto"/>
              <w:contextualSpacing/>
              <w:jc w:val="center"/>
              <w:rPr>
                <w:sz w:val="20"/>
                <w:szCs w:val="20"/>
              </w:rPr>
            </w:pPr>
            <w:r w:rsidRPr="004E0431">
              <w:rPr>
                <w:rFonts w:eastAsia="Arial"/>
                <w:sz w:val="20"/>
                <w:szCs w:val="20"/>
              </w:rPr>
              <w:t>93.0</w:t>
            </w:r>
          </w:p>
        </w:tc>
      </w:tr>
      <w:tr w:rsidR="004E0431" w:rsidRPr="004E0431" w14:paraId="2D5F2524" w14:textId="77777777" w:rsidTr="00493138">
        <w:trPr>
          <w:jc w:val="center"/>
        </w:trPr>
        <w:tc>
          <w:tcPr>
            <w:tcW w:w="833" w:type="dxa"/>
            <w:vMerge/>
            <w:tcBorders>
              <w:top w:val="single" w:sz="4" w:space="0" w:color="auto"/>
              <w:left w:val="single" w:sz="4" w:space="0" w:color="auto"/>
              <w:bottom w:val="single" w:sz="4" w:space="0" w:color="auto"/>
              <w:right w:val="single" w:sz="4" w:space="0" w:color="auto"/>
            </w:tcBorders>
            <w:shd w:val="clear" w:color="auto" w:fill="auto"/>
          </w:tcPr>
          <w:p w14:paraId="2C38644E" w14:textId="77777777" w:rsidR="00CD5BAE" w:rsidRPr="004E0431" w:rsidRDefault="00CD5BAE" w:rsidP="00475FA2">
            <w:pPr>
              <w:spacing w:before="120" w:line="276" w:lineRule="auto"/>
              <w:contextualSpacing/>
              <w:rPr>
                <w:sz w:val="20"/>
                <w:szCs w:val="20"/>
              </w:rPr>
            </w:pPr>
          </w:p>
        </w:tc>
        <w:tc>
          <w:tcPr>
            <w:tcW w:w="2788" w:type="dxa"/>
            <w:tcBorders>
              <w:top w:val="single" w:sz="4" w:space="0" w:color="auto"/>
              <w:left w:val="single" w:sz="4" w:space="0" w:color="auto"/>
              <w:bottom w:val="single" w:sz="4" w:space="0" w:color="auto"/>
              <w:right w:val="single" w:sz="4" w:space="0" w:color="auto"/>
            </w:tcBorders>
            <w:shd w:val="clear" w:color="auto" w:fill="auto"/>
          </w:tcPr>
          <w:p w14:paraId="0A6CD364" w14:textId="77777777" w:rsidR="00CD5BAE" w:rsidRPr="004E0431" w:rsidRDefault="00CD5BAE" w:rsidP="00475FA2">
            <w:pPr>
              <w:spacing w:before="120" w:line="276" w:lineRule="auto"/>
              <w:contextualSpacing/>
              <w:rPr>
                <w:sz w:val="20"/>
                <w:szCs w:val="20"/>
              </w:rPr>
            </w:pPr>
            <w:r w:rsidRPr="004E0431">
              <w:rPr>
                <w:rFonts w:eastAsia="Arial"/>
                <w:sz w:val="20"/>
                <w:szCs w:val="20"/>
              </w:rPr>
              <w:t>Better ESG Ratings and Standards</w:t>
            </w:r>
          </w:p>
        </w:tc>
        <w:tc>
          <w:tcPr>
            <w:tcW w:w="1207" w:type="dxa"/>
            <w:tcBorders>
              <w:top w:val="single" w:sz="4" w:space="0" w:color="auto"/>
              <w:left w:val="single" w:sz="4" w:space="0" w:color="auto"/>
              <w:bottom w:val="single" w:sz="4" w:space="0" w:color="auto"/>
              <w:right w:val="single" w:sz="4" w:space="0" w:color="auto"/>
            </w:tcBorders>
            <w:shd w:val="clear" w:color="auto" w:fill="auto"/>
          </w:tcPr>
          <w:p w14:paraId="0BF648A5" w14:textId="77777777" w:rsidR="00CD5BAE" w:rsidRPr="004E0431" w:rsidRDefault="00CD5BAE" w:rsidP="00493138">
            <w:pPr>
              <w:spacing w:before="120" w:line="276" w:lineRule="auto"/>
              <w:contextualSpacing/>
              <w:jc w:val="center"/>
              <w:rPr>
                <w:sz w:val="20"/>
                <w:szCs w:val="20"/>
              </w:rPr>
            </w:pPr>
            <w:r w:rsidRPr="004E0431">
              <w:rPr>
                <w:rFonts w:eastAsia="Arial"/>
                <w:sz w:val="20"/>
                <w:szCs w:val="20"/>
              </w:rPr>
              <w:t>14</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024DA6F4" w14:textId="77777777" w:rsidR="00CD5BAE" w:rsidRPr="004E0431" w:rsidRDefault="00CD5BAE" w:rsidP="00493138">
            <w:pPr>
              <w:spacing w:before="120" w:line="276" w:lineRule="auto"/>
              <w:contextualSpacing/>
              <w:jc w:val="center"/>
              <w:rPr>
                <w:sz w:val="20"/>
                <w:szCs w:val="20"/>
              </w:rPr>
            </w:pPr>
            <w:r w:rsidRPr="004E0431">
              <w:rPr>
                <w:rFonts w:eastAsia="Arial"/>
                <w:sz w:val="20"/>
                <w:szCs w:val="20"/>
              </w:rPr>
              <w:t>7.0</w:t>
            </w:r>
          </w:p>
        </w:tc>
        <w:tc>
          <w:tcPr>
            <w:tcW w:w="1462" w:type="dxa"/>
            <w:tcBorders>
              <w:top w:val="single" w:sz="4" w:space="0" w:color="auto"/>
              <w:left w:val="single" w:sz="4" w:space="0" w:color="auto"/>
              <w:bottom w:val="single" w:sz="4" w:space="0" w:color="auto"/>
              <w:right w:val="single" w:sz="4" w:space="0" w:color="auto"/>
            </w:tcBorders>
            <w:shd w:val="clear" w:color="auto" w:fill="auto"/>
          </w:tcPr>
          <w:p w14:paraId="780A9D47" w14:textId="77777777" w:rsidR="00CD5BAE" w:rsidRPr="004E0431" w:rsidRDefault="00CD5BAE" w:rsidP="00493138">
            <w:pPr>
              <w:spacing w:before="120" w:line="276" w:lineRule="auto"/>
              <w:contextualSpacing/>
              <w:jc w:val="center"/>
              <w:rPr>
                <w:sz w:val="20"/>
                <w:szCs w:val="20"/>
              </w:rPr>
            </w:pPr>
            <w:r w:rsidRPr="004E0431">
              <w:rPr>
                <w:rFonts w:eastAsia="Arial"/>
                <w:sz w:val="20"/>
                <w:szCs w:val="20"/>
              </w:rPr>
              <w:t>7.0</w:t>
            </w:r>
          </w:p>
        </w:tc>
        <w:tc>
          <w:tcPr>
            <w:tcW w:w="1666" w:type="dxa"/>
            <w:tcBorders>
              <w:top w:val="single" w:sz="4" w:space="0" w:color="auto"/>
              <w:left w:val="single" w:sz="4" w:space="0" w:color="auto"/>
              <w:bottom w:val="single" w:sz="4" w:space="0" w:color="auto"/>
              <w:right w:val="single" w:sz="4" w:space="0" w:color="auto"/>
            </w:tcBorders>
            <w:shd w:val="clear" w:color="auto" w:fill="auto"/>
          </w:tcPr>
          <w:p w14:paraId="4A40A74E" w14:textId="77777777" w:rsidR="00CD5BAE" w:rsidRPr="004E0431" w:rsidRDefault="00CD5BAE" w:rsidP="00493138">
            <w:pPr>
              <w:spacing w:before="120" w:line="276" w:lineRule="auto"/>
              <w:contextualSpacing/>
              <w:jc w:val="center"/>
              <w:rPr>
                <w:sz w:val="20"/>
                <w:szCs w:val="20"/>
              </w:rPr>
            </w:pPr>
            <w:r w:rsidRPr="004E0431">
              <w:rPr>
                <w:rFonts w:eastAsia="Arial"/>
                <w:sz w:val="20"/>
                <w:szCs w:val="20"/>
              </w:rPr>
              <w:t>100.0</w:t>
            </w:r>
          </w:p>
        </w:tc>
      </w:tr>
      <w:tr w:rsidR="004E0431" w:rsidRPr="004E0431" w14:paraId="008DDF8F" w14:textId="77777777" w:rsidTr="00493138">
        <w:trPr>
          <w:jc w:val="center"/>
        </w:trPr>
        <w:tc>
          <w:tcPr>
            <w:tcW w:w="833" w:type="dxa"/>
            <w:vMerge/>
            <w:tcBorders>
              <w:top w:val="single" w:sz="4" w:space="0" w:color="auto"/>
              <w:left w:val="single" w:sz="4" w:space="0" w:color="auto"/>
              <w:bottom w:val="single" w:sz="4" w:space="0" w:color="auto"/>
              <w:right w:val="single" w:sz="4" w:space="0" w:color="auto"/>
            </w:tcBorders>
            <w:shd w:val="clear" w:color="auto" w:fill="auto"/>
          </w:tcPr>
          <w:p w14:paraId="3620ACB2" w14:textId="77777777" w:rsidR="00CD5BAE" w:rsidRPr="004E0431" w:rsidRDefault="00CD5BAE" w:rsidP="00475FA2">
            <w:pPr>
              <w:spacing w:before="120" w:line="276" w:lineRule="auto"/>
              <w:contextualSpacing/>
              <w:rPr>
                <w:sz w:val="20"/>
                <w:szCs w:val="20"/>
              </w:rPr>
            </w:pPr>
          </w:p>
        </w:tc>
        <w:tc>
          <w:tcPr>
            <w:tcW w:w="2788" w:type="dxa"/>
            <w:tcBorders>
              <w:top w:val="single" w:sz="4" w:space="0" w:color="auto"/>
              <w:left w:val="single" w:sz="4" w:space="0" w:color="auto"/>
              <w:bottom w:val="single" w:sz="4" w:space="0" w:color="auto"/>
              <w:right w:val="single" w:sz="4" w:space="0" w:color="auto"/>
            </w:tcBorders>
            <w:shd w:val="clear" w:color="auto" w:fill="auto"/>
          </w:tcPr>
          <w:p w14:paraId="1E8E019B" w14:textId="77777777" w:rsidR="00CD5BAE" w:rsidRPr="004E0431" w:rsidRDefault="00CD5BAE" w:rsidP="00475FA2">
            <w:pPr>
              <w:spacing w:before="120" w:line="276" w:lineRule="auto"/>
              <w:contextualSpacing/>
              <w:rPr>
                <w:sz w:val="20"/>
                <w:szCs w:val="20"/>
              </w:rPr>
            </w:pPr>
            <w:r w:rsidRPr="004E0431">
              <w:rPr>
                <w:rFonts w:eastAsia="Arial"/>
                <w:sz w:val="20"/>
                <w:szCs w:val="20"/>
              </w:rPr>
              <w:t>Total</w:t>
            </w:r>
          </w:p>
        </w:tc>
        <w:tc>
          <w:tcPr>
            <w:tcW w:w="1207" w:type="dxa"/>
            <w:tcBorders>
              <w:top w:val="single" w:sz="4" w:space="0" w:color="auto"/>
              <w:left w:val="single" w:sz="4" w:space="0" w:color="auto"/>
              <w:bottom w:val="single" w:sz="4" w:space="0" w:color="auto"/>
              <w:right w:val="single" w:sz="4" w:space="0" w:color="auto"/>
            </w:tcBorders>
            <w:shd w:val="clear" w:color="auto" w:fill="auto"/>
          </w:tcPr>
          <w:p w14:paraId="48E06216" w14:textId="77777777" w:rsidR="00CD5BAE" w:rsidRPr="004E0431" w:rsidRDefault="00CD5BAE" w:rsidP="00493138">
            <w:pPr>
              <w:spacing w:before="120" w:line="276" w:lineRule="auto"/>
              <w:contextualSpacing/>
              <w:jc w:val="center"/>
              <w:rPr>
                <w:sz w:val="20"/>
                <w:szCs w:val="20"/>
              </w:rPr>
            </w:pPr>
            <w:r w:rsidRPr="004E0431">
              <w:rPr>
                <w:rFonts w:eastAsia="Arial"/>
                <w:sz w:val="20"/>
                <w:szCs w:val="20"/>
              </w:rPr>
              <w:t>200</w:t>
            </w: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631FCA78" w14:textId="77777777" w:rsidR="00CD5BAE" w:rsidRPr="004E0431" w:rsidRDefault="00CD5BAE" w:rsidP="00493138">
            <w:pPr>
              <w:spacing w:before="120" w:line="276" w:lineRule="auto"/>
              <w:contextualSpacing/>
              <w:jc w:val="center"/>
              <w:rPr>
                <w:sz w:val="20"/>
                <w:szCs w:val="20"/>
              </w:rPr>
            </w:pPr>
            <w:r w:rsidRPr="004E0431">
              <w:rPr>
                <w:rFonts w:eastAsia="Arial"/>
                <w:sz w:val="20"/>
                <w:szCs w:val="20"/>
              </w:rPr>
              <w:t>100.0</w:t>
            </w:r>
          </w:p>
        </w:tc>
        <w:tc>
          <w:tcPr>
            <w:tcW w:w="1462" w:type="dxa"/>
            <w:tcBorders>
              <w:top w:val="single" w:sz="4" w:space="0" w:color="auto"/>
              <w:left w:val="single" w:sz="4" w:space="0" w:color="auto"/>
              <w:bottom w:val="single" w:sz="4" w:space="0" w:color="auto"/>
              <w:right w:val="single" w:sz="4" w:space="0" w:color="auto"/>
            </w:tcBorders>
            <w:shd w:val="clear" w:color="auto" w:fill="auto"/>
          </w:tcPr>
          <w:p w14:paraId="55A74DAF" w14:textId="77777777" w:rsidR="00CD5BAE" w:rsidRPr="004E0431" w:rsidRDefault="00CD5BAE" w:rsidP="00493138">
            <w:pPr>
              <w:spacing w:before="120" w:line="276" w:lineRule="auto"/>
              <w:contextualSpacing/>
              <w:jc w:val="center"/>
              <w:rPr>
                <w:sz w:val="20"/>
                <w:szCs w:val="20"/>
              </w:rPr>
            </w:pPr>
            <w:r w:rsidRPr="004E0431">
              <w:rPr>
                <w:rFonts w:eastAsia="Arial"/>
                <w:sz w:val="20"/>
                <w:szCs w:val="20"/>
              </w:rPr>
              <w:t>100.0</w:t>
            </w:r>
          </w:p>
        </w:tc>
        <w:tc>
          <w:tcPr>
            <w:tcW w:w="1666" w:type="dxa"/>
            <w:tcBorders>
              <w:top w:val="single" w:sz="4" w:space="0" w:color="auto"/>
              <w:left w:val="single" w:sz="4" w:space="0" w:color="auto"/>
              <w:bottom w:val="single" w:sz="4" w:space="0" w:color="auto"/>
              <w:right w:val="single" w:sz="4" w:space="0" w:color="auto"/>
            </w:tcBorders>
            <w:shd w:val="clear" w:color="auto" w:fill="auto"/>
          </w:tcPr>
          <w:p w14:paraId="0E5C2897" w14:textId="77777777" w:rsidR="00CD5BAE" w:rsidRPr="004E0431" w:rsidRDefault="00CD5BAE" w:rsidP="00493138">
            <w:pPr>
              <w:spacing w:before="120" w:line="276" w:lineRule="auto"/>
              <w:contextualSpacing/>
              <w:jc w:val="center"/>
              <w:rPr>
                <w:sz w:val="20"/>
                <w:szCs w:val="20"/>
              </w:rPr>
            </w:pPr>
          </w:p>
        </w:tc>
      </w:tr>
    </w:tbl>
    <w:bookmarkEnd w:id="1"/>
    <w:p w14:paraId="18CDC491" w14:textId="0B660F5C" w:rsidR="00CD5BAE" w:rsidRPr="0001291E" w:rsidRDefault="00CD5BAE" w:rsidP="00475FA2">
      <w:pPr>
        <w:spacing w:before="120" w:line="276" w:lineRule="auto"/>
        <w:jc w:val="center"/>
        <w:rPr>
          <w:sz w:val="20"/>
          <w:szCs w:val="20"/>
        </w:rPr>
      </w:pPr>
      <w:r w:rsidRPr="0001291E">
        <w:rPr>
          <w:noProof/>
          <w:sz w:val="20"/>
          <w:szCs w:val="20"/>
          <w:lang w:val="en-IN" w:eastAsia="en-IN"/>
        </w:rPr>
        <w:drawing>
          <wp:inline distT="0" distB="0" distL="0" distR="0" wp14:anchorId="77B1F306" wp14:editId="13C6B9E9">
            <wp:extent cx="5067300" cy="1744980"/>
            <wp:effectExtent l="0" t="0" r="0" b="7620"/>
            <wp:docPr id="1994395809" name="Chart 1">
              <a:extLst xmlns:a="http://schemas.openxmlformats.org/drawingml/2006/main">
                <a:ext uri="{FF2B5EF4-FFF2-40B4-BE49-F238E27FC236}">
                  <a16:creationId xmlns:a16="http://schemas.microsoft.com/office/drawing/2014/main" id="{EEA9DD8D-B35E-A179-CADB-EE966632A7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655BD4C" w14:textId="77777777" w:rsidR="00475FA2" w:rsidRDefault="00475FA2" w:rsidP="00475FA2">
      <w:pPr>
        <w:spacing w:before="120" w:line="276" w:lineRule="auto"/>
        <w:rPr>
          <w:b/>
          <w:bCs/>
          <w:sz w:val="20"/>
          <w:szCs w:val="20"/>
        </w:rPr>
        <w:sectPr w:rsidR="00475FA2" w:rsidSect="00475FA2">
          <w:type w:val="continuous"/>
          <w:pgSz w:w="12240" w:h="15840" w:code="1"/>
          <w:pgMar w:top="1440" w:right="1440" w:bottom="1440" w:left="1440" w:header="706" w:footer="706" w:gutter="0"/>
          <w:cols w:space="720"/>
          <w:docGrid w:linePitch="299"/>
        </w:sectPr>
      </w:pPr>
    </w:p>
    <w:p w14:paraId="4F91B261" w14:textId="77777777" w:rsidR="00CD5BAE" w:rsidRPr="0001291E" w:rsidRDefault="00CD5BAE" w:rsidP="00475FA2">
      <w:pPr>
        <w:spacing w:before="120" w:line="276" w:lineRule="auto"/>
        <w:rPr>
          <w:sz w:val="20"/>
          <w:szCs w:val="20"/>
        </w:rPr>
      </w:pPr>
      <w:r w:rsidRPr="0001291E">
        <w:rPr>
          <w:b/>
          <w:bCs/>
          <w:sz w:val="20"/>
          <w:szCs w:val="20"/>
        </w:rPr>
        <w:t>Interpretation:</w:t>
      </w:r>
    </w:p>
    <w:p w14:paraId="23750C2E" w14:textId="77777777" w:rsidR="00CD5BAE" w:rsidRPr="0001291E" w:rsidRDefault="00CD5BAE" w:rsidP="00475FA2">
      <w:pPr>
        <w:spacing w:before="120" w:line="276" w:lineRule="auto"/>
        <w:jc w:val="both"/>
        <w:rPr>
          <w:sz w:val="20"/>
          <w:szCs w:val="20"/>
        </w:rPr>
      </w:pPr>
      <w:r w:rsidRPr="0001291E">
        <w:rPr>
          <w:sz w:val="20"/>
          <w:szCs w:val="20"/>
        </w:rPr>
        <w:t xml:space="preserve">The table below shows the factors that would encourage respondents to invest more in ESG-compliant products. It is clear that 43% of respondents believe that improved awareness and education would drive them to invest more, indicating that a lack of knowledge remains a major barrier to ESG adoption. 35% of respondents would be motivated by higher returns, highlighting that financial performance is a key factor in investment decisions, even for ESG products. 15% of respondents cite wider product </w:t>
      </w:r>
      <w:r w:rsidRPr="0001291E">
        <w:rPr>
          <w:sz w:val="20"/>
          <w:szCs w:val="20"/>
        </w:rPr>
        <w:t>availability, suggesting that expanding ESG investment options in the market could encourage greater participation. Meanwhile, 7% of respondents believe that better ESG ratings and standards would increase their confidence in ESG investments, indicating that transparency and credibility in ESG assessments play a role in investment decisions. Overall, the data suggests that increasing investor awareness, demonstrating strong financial performance, expanding product options, and enhancing ESG rating standards could significantly boost ESG investment adoption.</w:t>
      </w:r>
    </w:p>
    <w:p w14:paraId="724BDCEE" w14:textId="77777777" w:rsidR="00475FA2" w:rsidRDefault="00475FA2" w:rsidP="00475FA2">
      <w:pPr>
        <w:spacing w:before="120" w:line="276" w:lineRule="auto"/>
        <w:jc w:val="center"/>
        <w:rPr>
          <w:rFonts w:eastAsia="Arial"/>
          <w:b/>
          <w:color w:val="010205"/>
          <w:sz w:val="20"/>
          <w:szCs w:val="20"/>
        </w:rPr>
        <w:sectPr w:rsidR="00475FA2" w:rsidSect="00475FA2">
          <w:type w:val="continuous"/>
          <w:pgSz w:w="12240" w:h="15840" w:code="1"/>
          <w:pgMar w:top="1440" w:right="1440" w:bottom="1440" w:left="1440" w:header="706" w:footer="706" w:gutter="0"/>
          <w:cols w:num="2" w:space="720"/>
          <w:docGrid w:linePitch="299"/>
        </w:sectPr>
      </w:pPr>
    </w:p>
    <w:p w14:paraId="28140B12" w14:textId="77777777" w:rsidR="00493138" w:rsidRDefault="00493138" w:rsidP="00475FA2">
      <w:pPr>
        <w:spacing w:before="120" w:line="276" w:lineRule="auto"/>
        <w:jc w:val="center"/>
        <w:rPr>
          <w:rFonts w:eastAsia="Arial"/>
          <w:b/>
          <w:color w:val="010205"/>
          <w:sz w:val="20"/>
          <w:szCs w:val="20"/>
        </w:rPr>
      </w:pPr>
    </w:p>
    <w:p w14:paraId="37117DA9" w14:textId="77777777" w:rsidR="00493138" w:rsidRDefault="00493138" w:rsidP="00475FA2">
      <w:pPr>
        <w:spacing w:before="120" w:line="276" w:lineRule="auto"/>
        <w:jc w:val="center"/>
        <w:rPr>
          <w:rFonts w:eastAsia="Arial"/>
          <w:b/>
          <w:color w:val="010205"/>
          <w:sz w:val="20"/>
          <w:szCs w:val="20"/>
        </w:rPr>
      </w:pPr>
    </w:p>
    <w:p w14:paraId="01BB238D" w14:textId="23F98935" w:rsidR="00CD5BAE" w:rsidRPr="0001291E" w:rsidRDefault="00CD5BAE" w:rsidP="00475FA2">
      <w:pPr>
        <w:spacing w:before="120" w:line="276" w:lineRule="auto"/>
        <w:jc w:val="center"/>
        <w:rPr>
          <w:rFonts w:eastAsia="Arial"/>
          <w:b/>
          <w:color w:val="010205"/>
          <w:sz w:val="20"/>
          <w:szCs w:val="20"/>
        </w:rPr>
      </w:pPr>
      <w:r w:rsidRPr="0001291E">
        <w:rPr>
          <w:rFonts w:eastAsia="Arial"/>
          <w:b/>
          <w:color w:val="010205"/>
          <w:sz w:val="20"/>
          <w:szCs w:val="20"/>
        </w:rPr>
        <w:lastRenderedPageBreak/>
        <w:t>Do you believe ESG investments will become mainstream in the next 3?</w:t>
      </w:r>
    </w:p>
    <w:tbl>
      <w:tblPr>
        <w:tblW w:w="0" w:type="auto"/>
        <w:jc w:val="center"/>
        <w:tblLayout w:type="fixed"/>
        <w:tblCellMar>
          <w:left w:w="10" w:type="dxa"/>
          <w:right w:w="10" w:type="dxa"/>
        </w:tblCellMar>
        <w:tblLook w:val="04A0" w:firstRow="1" w:lastRow="0" w:firstColumn="1" w:lastColumn="0" w:noHBand="0" w:noVBand="1"/>
      </w:tblPr>
      <w:tblGrid>
        <w:gridCol w:w="852"/>
        <w:gridCol w:w="1618"/>
        <w:gridCol w:w="1235"/>
        <w:gridCol w:w="1182"/>
        <w:gridCol w:w="1496"/>
        <w:gridCol w:w="1704"/>
      </w:tblGrid>
      <w:tr w:rsidR="004E0431" w:rsidRPr="004E0431" w14:paraId="06F863C3" w14:textId="77777777" w:rsidTr="00493138">
        <w:trPr>
          <w:trHeight w:val="606"/>
          <w:jc w:val="center"/>
        </w:trPr>
        <w:tc>
          <w:tcPr>
            <w:tcW w:w="24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862B961" w14:textId="77777777" w:rsidR="00CD5BAE" w:rsidRPr="004E0431" w:rsidRDefault="00CD5BAE" w:rsidP="00475FA2">
            <w:pPr>
              <w:spacing w:before="120" w:line="276" w:lineRule="auto"/>
              <w:contextualSpacing/>
              <w:rPr>
                <w:sz w:val="20"/>
                <w:szCs w:val="20"/>
              </w:rPr>
            </w:pPr>
            <w:bookmarkStart w:id="2" w:name="_Hlk195646559"/>
          </w:p>
        </w:tc>
        <w:tc>
          <w:tcPr>
            <w:tcW w:w="1235" w:type="dxa"/>
            <w:tcBorders>
              <w:top w:val="single" w:sz="4" w:space="0" w:color="auto"/>
              <w:left w:val="single" w:sz="4" w:space="0" w:color="auto"/>
              <w:bottom w:val="single" w:sz="4" w:space="0" w:color="auto"/>
              <w:right w:val="single" w:sz="4" w:space="0" w:color="auto"/>
            </w:tcBorders>
            <w:shd w:val="clear" w:color="auto" w:fill="auto"/>
            <w:vAlign w:val="bottom"/>
          </w:tcPr>
          <w:p w14:paraId="0E6EACE9" w14:textId="77777777" w:rsidR="00CD5BAE" w:rsidRPr="004E0431" w:rsidRDefault="00CD5BAE" w:rsidP="00475FA2">
            <w:pPr>
              <w:spacing w:before="120" w:line="276" w:lineRule="auto"/>
              <w:contextualSpacing/>
              <w:jc w:val="center"/>
              <w:rPr>
                <w:sz w:val="20"/>
                <w:szCs w:val="20"/>
              </w:rPr>
            </w:pPr>
            <w:r w:rsidRPr="004E0431">
              <w:rPr>
                <w:rFonts w:eastAsia="Arial"/>
                <w:sz w:val="20"/>
                <w:szCs w:val="20"/>
              </w:rPr>
              <w:t>Frequency</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bottom"/>
          </w:tcPr>
          <w:p w14:paraId="46EC24FC" w14:textId="77777777" w:rsidR="00CD5BAE" w:rsidRPr="004E0431" w:rsidRDefault="00CD5BAE" w:rsidP="00475FA2">
            <w:pPr>
              <w:spacing w:before="120" w:line="276" w:lineRule="auto"/>
              <w:contextualSpacing/>
              <w:jc w:val="center"/>
              <w:rPr>
                <w:sz w:val="20"/>
                <w:szCs w:val="20"/>
              </w:rPr>
            </w:pPr>
            <w:r w:rsidRPr="004E0431">
              <w:rPr>
                <w:rFonts w:eastAsia="Arial"/>
                <w:sz w:val="20"/>
                <w:szCs w:val="20"/>
              </w:rPr>
              <w:t>Percent</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bottom"/>
          </w:tcPr>
          <w:p w14:paraId="6C53B62E" w14:textId="77777777" w:rsidR="00CD5BAE" w:rsidRPr="004E0431" w:rsidRDefault="00CD5BAE" w:rsidP="00475FA2">
            <w:pPr>
              <w:spacing w:before="120" w:line="276" w:lineRule="auto"/>
              <w:contextualSpacing/>
              <w:jc w:val="center"/>
              <w:rPr>
                <w:sz w:val="20"/>
                <w:szCs w:val="20"/>
              </w:rPr>
            </w:pPr>
            <w:r w:rsidRPr="004E0431">
              <w:rPr>
                <w:rFonts w:eastAsia="Arial"/>
                <w:sz w:val="20"/>
                <w:szCs w:val="20"/>
              </w:rPr>
              <w:t>Valid Percent</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bottom"/>
          </w:tcPr>
          <w:p w14:paraId="6280EC5C" w14:textId="77777777" w:rsidR="00CD5BAE" w:rsidRPr="004E0431" w:rsidRDefault="00CD5BAE" w:rsidP="00475FA2">
            <w:pPr>
              <w:spacing w:before="120" w:line="276" w:lineRule="auto"/>
              <w:contextualSpacing/>
              <w:jc w:val="center"/>
              <w:rPr>
                <w:sz w:val="20"/>
                <w:szCs w:val="20"/>
              </w:rPr>
            </w:pPr>
            <w:r w:rsidRPr="004E0431">
              <w:rPr>
                <w:rFonts w:eastAsia="Arial"/>
                <w:sz w:val="20"/>
                <w:szCs w:val="20"/>
              </w:rPr>
              <w:t>Cumulative Percent</w:t>
            </w:r>
          </w:p>
        </w:tc>
      </w:tr>
      <w:tr w:rsidR="004E0431" w:rsidRPr="004E0431" w14:paraId="56F33478" w14:textId="77777777" w:rsidTr="00493138">
        <w:trPr>
          <w:trHeight w:val="313"/>
          <w:jc w:val="center"/>
        </w:trPr>
        <w:tc>
          <w:tcPr>
            <w:tcW w:w="852" w:type="dxa"/>
            <w:vMerge w:val="restart"/>
            <w:tcBorders>
              <w:top w:val="single" w:sz="4" w:space="0" w:color="auto"/>
              <w:left w:val="single" w:sz="4" w:space="0" w:color="auto"/>
              <w:bottom w:val="single" w:sz="4" w:space="0" w:color="auto"/>
              <w:right w:val="single" w:sz="4" w:space="0" w:color="auto"/>
            </w:tcBorders>
            <w:shd w:val="clear" w:color="auto" w:fill="auto"/>
          </w:tcPr>
          <w:p w14:paraId="0217D742" w14:textId="77777777" w:rsidR="00CD5BAE" w:rsidRPr="004E0431" w:rsidRDefault="00CD5BAE" w:rsidP="00475FA2">
            <w:pPr>
              <w:spacing w:before="120" w:line="276" w:lineRule="auto"/>
              <w:contextualSpacing/>
              <w:rPr>
                <w:sz w:val="20"/>
                <w:szCs w:val="20"/>
              </w:rPr>
            </w:pPr>
            <w:r w:rsidRPr="004E0431">
              <w:rPr>
                <w:rFonts w:eastAsia="Arial"/>
                <w:sz w:val="20"/>
                <w:szCs w:val="20"/>
              </w:rPr>
              <w:t>Valid</w:t>
            </w:r>
          </w:p>
        </w:tc>
        <w:tc>
          <w:tcPr>
            <w:tcW w:w="1618" w:type="dxa"/>
            <w:tcBorders>
              <w:top w:val="single" w:sz="4" w:space="0" w:color="auto"/>
              <w:left w:val="single" w:sz="4" w:space="0" w:color="auto"/>
              <w:bottom w:val="single" w:sz="4" w:space="0" w:color="auto"/>
              <w:right w:val="single" w:sz="4" w:space="0" w:color="auto"/>
            </w:tcBorders>
            <w:shd w:val="clear" w:color="auto" w:fill="auto"/>
          </w:tcPr>
          <w:p w14:paraId="67A9A0EB" w14:textId="77777777" w:rsidR="00CD5BAE" w:rsidRPr="004E0431" w:rsidRDefault="00CD5BAE" w:rsidP="00475FA2">
            <w:pPr>
              <w:spacing w:before="120" w:line="276" w:lineRule="auto"/>
              <w:contextualSpacing/>
              <w:rPr>
                <w:sz w:val="20"/>
                <w:szCs w:val="20"/>
              </w:rPr>
            </w:pPr>
            <w:r w:rsidRPr="004E0431">
              <w:rPr>
                <w:rFonts w:eastAsia="Arial"/>
                <w:sz w:val="20"/>
                <w:szCs w:val="20"/>
              </w:rPr>
              <w:t>Strongly Agree</w:t>
            </w:r>
          </w:p>
        </w:tc>
        <w:tc>
          <w:tcPr>
            <w:tcW w:w="1235" w:type="dxa"/>
            <w:tcBorders>
              <w:top w:val="single" w:sz="4" w:space="0" w:color="auto"/>
              <w:left w:val="single" w:sz="4" w:space="0" w:color="auto"/>
              <w:bottom w:val="single" w:sz="4" w:space="0" w:color="auto"/>
              <w:right w:val="single" w:sz="4" w:space="0" w:color="auto"/>
            </w:tcBorders>
            <w:shd w:val="clear" w:color="auto" w:fill="auto"/>
          </w:tcPr>
          <w:p w14:paraId="718F3C13"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50</w:t>
            </w:r>
          </w:p>
        </w:tc>
        <w:tc>
          <w:tcPr>
            <w:tcW w:w="1182" w:type="dxa"/>
            <w:tcBorders>
              <w:top w:val="single" w:sz="4" w:space="0" w:color="auto"/>
              <w:left w:val="single" w:sz="4" w:space="0" w:color="auto"/>
              <w:bottom w:val="single" w:sz="4" w:space="0" w:color="auto"/>
              <w:right w:val="single" w:sz="4" w:space="0" w:color="auto"/>
            </w:tcBorders>
            <w:shd w:val="clear" w:color="auto" w:fill="auto"/>
          </w:tcPr>
          <w:p w14:paraId="1F009A8B"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25.0</w:t>
            </w:r>
          </w:p>
        </w:tc>
        <w:tc>
          <w:tcPr>
            <w:tcW w:w="1496" w:type="dxa"/>
            <w:tcBorders>
              <w:top w:val="single" w:sz="4" w:space="0" w:color="auto"/>
              <w:left w:val="single" w:sz="4" w:space="0" w:color="auto"/>
              <w:bottom w:val="single" w:sz="4" w:space="0" w:color="auto"/>
              <w:right w:val="single" w:sz="4" w:space="0" w:color="auto"/>
            </w:tcBorders>
            <w:shd w:val="clear" w:color="auto" w:fill="auto"/>
          </w:tcPr>
          <w:p w14:paraId="753580DD"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25.0</w:t>
            </w:r>
          </w:p>
        </w:tc>
        <w:tc>
          <w:tcPr>
            <w:tcW w:w="1704" w:type="dxa"/>
            <w:tcBorders>
              <w:top w:val="single" w:sz="4" w:space="0" w:color="auto"/>
              <w:left w:val="single" w:sz="4" w:space="0" w:color="auto"/>
              <w:bottom w:val="single" w:sz="4" w:space="0" w:color="auto"/>
              <w:right w:val="single" w:sz="4" w:space="0" w:color="auto"/>
            </w:tcBorders>
            <w:shd w:val="clear" w:color="auto" w:fill="auto"/>
          </w:tcPr>
          <w:p w14:paraId="209D8B3C"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25.0</w:t>
            </w:r>
          </w:p>
        </w:tc>
      </w:tr>
      <w:tr w:rsidR="004E0431" w:rsidRPr="004E0431" w14:paraId="4C3690D7" w14:textId="77777777" w:rsidTr="00493138">
        <w:trPr>
          <w:trHeight w:val="168"/>
          <w:jc w:val="center"/>
        </w:trPr>
        <w:tc>
          <w:tcPr>
            <w:tcW w:w="852" w:type="dxa"/>
            <w:vMerge/>
            <w:tcBorders>
              <w:top w:val="single" w:sz="4" w:space="0" w:color="auto"/>
              <w:left w:val="single" w:sz="4" w:space="0" w:color="auto"/>
              <w:bottom w:val="single" w:sz="4" w:space="0" w:color="auto"/>
              <w:right w:val="single" w:sz="4" w:space="0" w:color="auto"/>
            </w:tcBorders>
            <w:shd w:val="clear" w:color="auto" w:fill="auto"/>
          </w:tcPr>
          <w:p w14:paraId="4B30B7DC" w14:textId="77777777" w:rsidR="00CD5BAE" w:rsidRPr="004E0431" w:rsidRDefault="00CD5BAE" w:rsidP="00475FA2">
            <w:pPr>
              <w:spacing w:before="120" w:line="276" w:lineRule="auto"/>
              <w:contextualSpacing/>
              <w:rPr>
                <w:sz w:val="20"/>
                <w:szCs w:val="20"/>
              </w:rPr>
            </w:pPr>
          </w:p>
        </w:tc>
        <w:tc>
          <w:tcPr>
            <w:tcW w:w="1618" w:type="dxa"/>
            <w:tcBorders>
              <w:top w:val="single" w:sz="4" w:space="0" w:color="auto"/>
              <w:left w:val="single" w:sz="4" w:space="0" w:color="auto"/>
              <w:bottom w:val="single" w:sz="4" w:space="0" w:color="auto"/>
              <w:right w:val="single" w:sz="4" w:space="0" w:color="auto"/>
            </w:tcBorders>
            <w:shd w:val="clear" w:color="auto" w:fill="auto"/>
          </w:tcPr>
          <w:p w14:paraId="270A4BB7" w14:textId="77777777" w:rsidR="00CD5BAE" w:rsidRPr="004E0431" w:rsidRDefault="00CD5BAE" w:rsidP="00475FA2">
            <w:pPr>
              <w:spacing w:before="120" w:line="276" w:lineRule="auto"/>
              <w:contextualSpacing/>
              <w:rPr>
                <w:sz w:val="20"/>
                <w:szCs w:val="20"/>
              </w:rPr>
            </w:pPr>
            <w:r w:rsidRPr="004E0431">
              <w:rPr>
                <w:rFonts w:eastAsia="Arial"/>
                <w:sz w:val="20"/>
                <w:szCs w:val="20"/>
              </w:rPr>
              <w:t>Agree</w:t>
            </w:r>
          </w:p>
        </w:tc>
        <w:tc>
          <w:tcPr>
            <w:tcW w:w="1235" w:type="dxa"/>
            <w:tcBorders>
              <w:top w:val="single" w:sz="4" w:space="0" w:color="auto"/>
              <w:left w:val="single" w:sz="4" w:space="0" w:color="auto"/>
              <w:bottom w:val="single" w:sz="4" w:space="0" w:color="auto"/>
              <w:right w:val="single" w:sz="4" w:space="0" w:color="auto"/>
            </w:tcBorders>
            <w:shd w:val="clear" w:color="auto" w:fill="auto"/>
          </w:tcPr>
          <w:p w14:paraId="51076852"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82</w:t>
            </w:r>
          </w:p>
        </w:tc>
        <w:tc>
          <w:tcPr>
            <w:tcW w:w="1182" w:type="dxa"/>
            <w:tcBorders>
              <w:top w:val="single" w:sz="4" w:space="0" w:color="auto"/>
              <w:left w:val="single" w:sz="4" w:space="0" w:color="auto"/>
              <w:bottom w:val="single" w:sz="4" w:space="0" w:color="auto"/>
              <w:right w:val="single" w:sz="4" w:space="0" w:color="auto"/>
            </w:tcBorders>
            <w:shd w:val="clear" w:color="auto" w:fill="auto"/>
          </w:tcPr>
          <w:p w14:paraId="2439FE83"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41.0</w:t>
            </w:r>
          </w:p>
        </w:tc>
        <w:tc>
          <w:tcPr>
            <w:tcW w:w="1496" w:type="dxa"/>
            <w:tcBorders>
              <w:top w:val="single" w:sz="4" w:space="0" w:color="auto"/>
              <w:left w:val="single" w:sz="4" w:space="0" w:color="auto"/>
              <w:bottom w:val="single" w:sz="4" w:space="0" w:color="auto"/>
              <w:right w:val="single" w:sz="4" w:space="0" w:color="auto"/>
            </w:tcBorders>
            <w:shd w:val="clear" w:color="auto" w:fill="auto"/>
          </w:tcPr>
          <w:p w14:paraId="5FE5B092"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41.0</w:t>
            </w:r>
          </w:p>
        </w:tc>
        <w:tc>
          <w:tcPr>
            <w:tcW w:w="1704" w:type="dxa"/>
            <w:tcBorders>
              <w:top w:val="single" w:sz="4" w:space="0" w:color="auto"/>
              <w:left w:val="single" w:sz="4" w:space="0" w:color="auto"/>
              <w:bottom w:val="single" w:sz="4" w:space="0" w:color="auto"/>
              <w:right w:val="single" w:sz="4" w:space="0" w:color="auto"/>
            </w:tcBorders>
            <w:shd w:val="clear" w:color="auto" w:fill="auto"/>
          </w:tcPr>
          <w:p w14:paraId="09B3A7BC"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66.0</w:t>
            </w:r>
          </w:p>
        </w:tc>
      </w:tr>
      <w:tr w:rsidR="004E0431" w:rsidRPr="004E0431" w14:paraId="48326092" w14:textId="77777777" w:rsidTr="00493138">
        <w:trPr>
          <w:trHeight w:val="168"/>
          <w:jc w:val="center"/>
        </w:trPr>
        <w:tc>
          <w:tcPr>
            <w:tcW w:w="852" w:type="dxa"/>
            <w:vMerge/>
            <w:tcBorders>
              <w:top w:val="single" w:sz="4" w:space="0" w:color="auto"/>
              <w:left w:val="single" w:sz="4" w:space="0" w:color="auto"/>
              <w:bottom w:val="single" w:sz="4" w:space="0" w:color="auto"/>
              <w:right w:val="single" w:sz="4" w:space="0" w:color="auto"/>
            </w:tcBorders>
            <w:shd w:val="clear" w:color="auto" w:fill="auto"/>
          </w:tcPr>
          <w:p w14:paraId="645F7520" w14:textId="77777777" w:rsidR="00CD5BAE" w:rsidRPr="004E0431" w:rsidRDefault="00CD5BAE" w:rsidP="00475FA2">
            <w:pPr>
              <w:spacing w:before="120" w:line="276" w:lineRule="auto"/>
              <w:contextualSpacing/>
              <w:rPr>
                <w:sz w:val="20"/>
                <w:szCs w:val="20"/>
              </w:rPr>
            </w:pPr>
          </w:p>
        </w:tc>
        <w:tc>
          <w:tcPr>
            <w:tcW w:w="1618" w:type="dxa"/>
            <w:tcBorders>
              <w:top w:val="single" w:sz="4" w:space="0" w:color="auto"/>
              <w:left w:val="single" w:sz="4" w:space="0" w:color="auto"/>
              <w:bottom w:val="single" w:sz="4" w:space="0" w:color="auto"/>
              <w:right w:val="single" w:sz="4" w:space="0" w:color="auto"/>
            </w:tcBorders>
            <w:shd w:val="clear" w:color="auto" w:fill="auto"/>
          </w:tcPr>
          <w:p w14:paraId="3D1D317B" w14:textId="77777777" w:rsidR="00CD5BAE" w:rsidRPr="004E0431" w:rsidRDefault="00CD5BAE" w:rsidP="00475FA2">
            <w:pPr>
              <w:spacing w:before="120" w:line="276" w:lineRule="auto"/>
              <w:contextualSpacing/>
              <w:rPr>
                <w:sz w:val="20"/>
                <w:szCs w:val="20"/>
              </w:rPr>
            </w:pPr>
            <w:r w:rsidRPr="004E0431">
              <w:rPr>
                <w:rFonts w:eastAsia="Arial"/>
                <w:sz w:val="20"/>
                <w:szCs w:val="20"/>
              </w:rPr>
              <w:t>Neutral</w:t>
            </w:r>
          </w:p>
        </w:tc>
        <w:tc>
          <w:tcPr>
            <w:tcW w:w="1235" w:type="dxa"/>
            <w:tcBorders>
              <w:top w:val="single" w:sz="4" w:space="0" w:color="auto"/>
              <w:left w:val="single" w:sz="4" w:space="0" w:color="auto"/>
              <w:bottom w:val="single" w:sz="4" w:space="0" w:color="auto"/>
              <w:right w:val="single" w:sz="4" w:space="0" w:color="auto"/>
            </w:tcBorders>
            <w:shd w:val="clear" w:color="auto" w:fill="auto"/>
          </w:tcPr>
          <w:p w14:paraId="240001E5"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66</w:t>
            </w:r>
          </w:p>
        </w:tc>
        <w:tc>
          <w:tcPr>
            <w:tcW w:w="1182" w:type="dxa"/>
            <w:tcBorders>
              <w:top w:val="single" w:sz="4" w:space="0" w:color="auto"/>
              <w:left w:val="single" w:sz="4" w:space="0" w:color="auto"/>
              <w:bottom w:val="single" w:sz="4" w:space="0" w:color="auto"/>
              <w:right w:val="single" w:sz="4" w:space="0" w:color="auto"/>
            </w:tcBorders>
            <w:shd w:val="clear" w:color="auto" w:fill="auto"/>
          </w:tcPr>
          <w:p w14:paraId="2F55693C"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33.0</w:t>
            </w:r>
          </w:p>
        </w:tc>
        <w:tc>
          <w:tcPr>
            <w:tcW w:w="1496" w:type="dxa"/>
            <w:tcBorders>
              <w:top w:val="single" w:sz="4" w:space="0" w:color="auto"/>
              <w:left w:val="single" w:sz="4" w:space="0" w:color="auto"/>
              <w:bottom w:val="single" w:sz="4" w:space="0" w:color="auto"/>
              <w:right w:val="single" w:sz="4" w:space="0" w:color="auto"/>
            </w:tcBorders>
            <w:shd w:val="clear" w:color="auto" w:fill="auto"/>
          </w:tcPr>
          <w:p w14:paraId="7AB301BA"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33.0</w:t>
            </w:r>
          </w:p>
        </w:tc>
        <w:tc>
          <w:tcPr>
            <w:tcW w:w="1704" w:type="dxa"/>
            <w:tcBorders>
              <w:top w:val="single" w:sz="4" w:space="0" w:color="auto"/>
              <w:left w:val="single" w:sz="4" w:space="0" w:color="auto"/>
              <w:bottom w:val="single" w:sz="4" w:space="0" w:color="auto"/>
              <w:right w:val="single" w:sz="4" w:space="0" w:color="auto"/>
            </w:tcBorders>
            <w:shd w:val="clear" w:color="auto" w:fill="auto"/>
          </w:tcPr>
          <w:p w14:paraId="40564218"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99.0</w:t>
            </w:r>
          </w:p>
        </w:tc>
      </w:tr>
      <w:tr w:rsidR="004E0431" w:rsidRPr="004E0431" w14:paraId="1A4CE22F" w14:textId="77777777" w:rsidTr="00493138">
        <w:trPr>
          <w:trHeight w:val="168"/>
          <w:jc w:val="center"/>
        </w:trPr>
        <w:tc>
          <w:tcPr>
            <w:tcW w:w="852" w:type="dxa"/>
            <w:vMerge/>
            <w:tcBorders>
              <w:top w:val="single" w:sz="4" w:space="0" w:color="auto"/>
              <w:left w:val="single" w:sz="4" w:space="0" w:color="auto"/>
              <w:bottom w:val="single" w:sz="4" w:space="0" w:color="auto"/>
              <w:right w:val="single" w:sz="4" w:space="0" w:color="auto"/>
            </w:tcBorders>
            <w:shd w:val="clear" w:color="auto" w:fill="auto"/>
          </w:tcPr>
          <w:p w14:paraId="4FAF9050" w14:textId="77777777" w:rsidR="00CD5BAE" w:rsidRPr="004E0431" w:rsidRDefault="00CD5BAE" w:rsidP="00475FA2">
            <w:pPr>
              <w:spacing w:before="120" w:line="276" w:lineRule="auto"/>
              <w:contextualSpacing/>
              <w:rPr>
                <w:sz w:val="20"/>
                <w:szCs w:val="20"/>
              </w:rPr>
            </w:pPr>
          </w:p>
        </w:tc>
        <w:tc>
          <w:tcPr>
            <w:tcW w:w="1618" w:type="dxa"/>
            <w:tcBorders>
              <w:top w:val="single" w:sz="4" w:space="0" w:color="auto"/>
              <w:left w:val="single" w:sz="4" w:space="0" w:color="auto"/>
              <w:bottom w:val="single" w:sz="4" w:space="0" w:color="auto"/>
              <w:right w:val="single" w:sz="4" w:space="0" w:color="auto"/>
            </w:tcBorders>
            <w:shd w:val="clear" w:color="auto" w:fill="auto"/>
          </w:tcPr>
          <w:p w14:paraId="1D402DA6" w14:textId="77777777" w:rsidR="00CD5BAE" w:rsidRPr="004E0431" w:rsidRDefault="00CD5BAE" w:rsidP="00475FA2">
            <w:pPr>
              <w:spacing w:before="120" w:line="276" w:lineRule="auto"/>
              <w:contextualSpacing/>
              <w:rPr>
                <w:sz w:val="20"/>
                <w:szCs w:val="20"/>
              </w:rPr>
            </w:pPr>
            <w:r w:rsidRPr="004E0431">
              <w:rPr>
                <w:rFonts w:eastAsia="Arial"/>
                <w:sz w:val="20"/>
                <w:szCs w:val="20"/>
              </w:rPr>
              <w:t>Disagree</w:t>
            </w:r>
          </w:p>
        </w:tc>
        <w:tc>
          <w:tcPr>
            <w:tcW w:w="1235" w:type="dxa"/>
            <w:tcBorders>
              <w:top w:val="single" w:sz="4" w:space="0" w:color="auto"/>
              <w:left w:val="single" w:sz="4" w:space="0" w:color="auto"/>
              <w:bottom w:val="single" w:sz="4" w:space="0" w:color="auto"/>
              <w:right w:val="single" w:sz="4" w:space="0" w:color="auto"/>
            </w:tcBorders>
            <w:shd w:val="clear" w:color="auto" w:fill="auto"/>
          </w:tcPr>
          <w:p w14:paraId="4223F1F3"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2</w:t>
            </w:r>
          </w:p>
        </w:tc>
        <w:tc>
          <w:tcPr>
            <w:tcW w:w="1182" w:type="dxa"/>
            <w:tcBorders>
              <w:top w:val="single" w:sz="4" w:space="0" w:color="auto"/>
              <w:left w:val="single" w:sz="4" w:space="0" w:color="auto"/>
              <w:bottom w:val="single" w:sz="4" w:space="0" w:color="auto"/>
              <w:right w:val="single" w:sz="4" w:space="0" w:color="auto"/>
            </w:tcBorders>
            <w:shd w:val="clear" w:color="auto" w:fill="auto"/>
          </w:tcPr>
          <w:p w14:paraId="7805DD67"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1.0</w:t>
            </w:r>
          </w:p>
        </w:tc>
        <w:tc>
          <w:tcPr>
            <w:tcW w:w="1496" w:type="dxa"/>
            <w:tcBorders>
              <w:top w:val="single" w:sz="4" w:space="0" w:color="auto"/>
              <w:left w:val="single" w:sz="4" w:space="0" w:color="auto"/>
              <w:bottom w:val="single" w:sz="4" w:space="0" w:color="auto"/>
              <w:right w:val="single" w:sz="4" w:space="0" w:color="auto"/>
            </w:tcBorders>
            <w:shd w:val="clear" w:color="auto" w:fill="auto"/>
          </w:tcPr>
          <w:p w14:paraId="140BA85D"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1.0</w:t>
            </w:r>
          </w:p>
        </w:tc>
        <w:tc>
          <w:tcPr>
            <w:tcW w:w="1704" w:type="dxa"/>
            <w:tcBorders>
              <w:top w:val="single" w:sz="4" w:space="0" w:color="auto"/>
              <w:left w:val="single" w:sz="4" w:space="0" w:color="auto"/>
              <w:bottom w:val="single" w:sz="4" w:space="0" w:color="auto"/>
              <w:right w:val="single" w:sz="4" w:space="0" w:color="auto"/>
            </w:tcBorders>
            <w:shd w:val="clear" w:color="auto" w:fill="auto"/>
          </w:tcPr>
          <w:p w14:paraId="1E46B9A6"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100.0</w:t>
            </w:r>
          </w:p>
        </w:tc>
      </w:tr>
      <w:tr w:rsidR="004E0431" w:rsidRPr="004E0431" w14:paraId="05F471C0" w14:textId="77777777" w:rsidTr="00493138">
        <w:trPr>
          <w:trHeight w:val="168"/>
          <w:jc w:val="center"/>
        </w:trPr>
        <w:tc>
          <w:tcPr>
            <w:tcW w:w="852" w:type="dxa"/>
            <w:vMerge/>
            <w:tcBorders>
              <w:top w:val="single" w:sz="4" w:space="0" w:color="auto"/>
              <w:left w:val="single" w:sz="4" w:space="0" w:color="auto"/>
              <w:bottom w:val="single" w:sz="4" w:space="0" w:color="auto"/>
              <w:right w:val="single" w:sz="4" w:space="0" w:color="auto"/>
            </w:tcBorders>
            <w:shd w:val="clear" w:color="auto" w:fill="auto"/>
          </w:tcPr>
          <w:p w14:paraId="128DE67D" w14:textId="77777777" w:rsidR="00CD5BAE" w:rsidRPr="004E0431" w:rsidRDefault="00CD5BAE" w:rsidP="00475FA2">
            <w:pPr>
              <w:spacing w:before="120" w:line="276" w:lineRule="auto"/>
              <w:contextualSpacing/>
              <w:rPr>
                <w:sz w:val="20"/>
                <w:szCs w:val="20"/>
              </w:rPr>
            </w:pPr>
          </w:p>
        </w:tc>
        <w:tc>
          <w:tcPr>
            <w:tcW w:w="1618" w:type="dxa"/>
            <w:tcBorders>
              <w:top w:val="single" w:sz="4" w:space="0" w:color="auto"/>
              <w:left w:val="single" w:sz="4" w:space="0" w:color="auto"/>
              <w:bottom w:val="single" w:sz="4" w:space="0" w:color="auto"/>
              <w:right w:val="single" w:sz="4" w:space="0" w:color="auto"/>
            </w:tcBorders>
            <w:shd w:val="clear" w:color="auto" w:fill="auto"/>
          </w:tcPr>
          <w:p w14:paraId="68D012D6" w14:textId="77777777" w:rsidR="00CD5BAE" w:rsidRPr="004E0431" w:rsidRDefault="00CD5BAE" w:rsidP="00475FA2">
            <w:pPr>
              <w:spacing w:before="120" w:line="276" w:lineRule="auto"/>
              <w:contextualSpacing/>
              <w:rPr>
                <w:sz w:val="20"/>
                <w:szCs w:val="20"/>
              </w:rPr>
            </w:pPr>
            <w:r w:rsidRPr="004E0431">
              <w:rPr>
                <w:rFonts w:eastAsia="Arial"/>
                <w:sz w:val="20"/>
                <w:szCs w:val="20"/>
              </w:rPr>
              <w:t>Total</w:t>
            </w:r>
          </w:p>
        </w:tc>
        <w:tc>
          <w:tcPr>
            <w:tcW w:w="1235" w:type="dxa"/>
            <w:tcBorders>
              <w:top w:val="single" w:sz="4" w:space="0" w:color="auto"/>
              <w:left w:val="single" w:sz="4" w:space="0" w:color="auto"/>
              <w:bottom w:val="single" w:sz="4" w:space="0" w:color="auto"/>
              <w:right w:val="single" w:sz="4" w:space="0" w:color="auto"/>
            </w:tcBorders>
            <w:shd w:val="clear" w:color="auto" w:fill="auto"/>
          </w:tcPr>
          <w:p w14:paraId="116F9C3F"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200</w:t>
            </w:r>
          </w:p>
        </w:tc>
        <w:tc>
          <w:tcPr>
            <w:tcW w:w="1182" w:type="dxa"/>
            <w:tcBorders>
              <w:top w:val="single" w:sz="4" w:space="0" w:color="auto"/>
              <w:left w:val="single" w:sz="4" w:space="0" w:color="auto"/>
              <w:bottom w:val="single" w:sz="4" w:space="0" w:color="auto"/>
              <w:right w:val="single" w:sz="4" w:space="0" w:color="auto"/>
            </w:tcBorders>
            <w:shd w:val="clear" w:color="auto" w:fill="auto"/>
          </w:tcPr>
          <w:p w14:paraId="01C9E413"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100.0</w:t>
            </w:r>
          </w:p>
        </w:tc>
        <w:tc>
          <w:tcPr>
            <w:tcW w:w="1496" w:type="dxa"/>
            <w:tcBorders>
              <w:top w:val="single" w:sz="4" w:space="0" w:color="auto"/>
              <w:left w:val="single" w:sz="4" w:space="0" w:color="auto"/>
              <w:bottom w:val="single" w:sz="4" w:space="0" w:color="auto"/>
              <w:right w:val="single" w:sz="4" w:space="0" w:color="auto"/>
            </w:tcBorders>
            <w:shd w:val="clear" w:color="auto" w:fill="auto"/>
          </w:tcPr>
          <w:p w14:paraId="393F4F72" w14:textId="77777777" w:rsidR="00CD5BAE" w:rsidRPr="004E0431" w:rsidRDefault="00CD5BAE" w:rsidP="00475FA2">
            <w:pPr>
              <w:spacing w:before="120" w:line="276" w:lineRule="auto"/>
              <w:contextualSpacing/>
              <w:jc w:val="right"/>
              <w:rPr>
                <w:sz w:val="20"/>
                <w:szCs w:val="20"/>
              </w:rPr>
            </w:pPr>
            <w:r w:rsidRPr="004E0431">
              <w:rPr>
                <w:rFonts w:eastAsia="Arial"/>
                <w:sz w:val="20"/>
                <w:szCs w:val="20"/>
              </w:rPr>
              <w:t>100.0</w:t>
            </w:r>
          </w:p>
        </w:tc>
        <w:tc>
          <w:tcPr>
            <w:tcW w:w="1704" w:type="dxa"/>
            <w:tcBorders>
              <w:top w:val="single" w:sz="4" w:space="0" w:color="auto"/>
              <w:left w:val="single" w:sz="4" w:space="0" w:color="auto"/>
              <w:bottom w:val="single" w:sz="4" w:space="0" w:color="auto"/>
              <w:right w:val="single" w:sz="4" w:space="0" w:color="auto"/>
            </w:tcBorders>
            <w:shd w:val="clear" w:color="auto" w:fill="auto"/>
          </w:tcPr>
          <w:p w14:paraId="4CD79824" w14:textId="77777777" w:rsidR="00CD5BAE" w:rsidRPr="004E0431" w:rsidRDefault="00CD5BAE" w:rsidP="00475FA2">
            <w:pPr>
              <w:spacing w:before="120" w:line="276" w:lineRule="auto"/>
              <w:contextualSpacing/>
              <w:rPr>
                <w:sz w:val="20"/>
                <w:szCs w:val="20"/>
              </w:rPr>
            </w:pPr>
          </w:p>
        </w:tc>
      </w:tr>
    </w:tbl>
    <w:bookmarkEnd w:id="2"/>
    <w:p w14:paraId="644233AA" w14:textId="0C3EA69E" w:rsidR="00CD5BAE" w:rsidRPr="0001291E" w:rsidRDefault="00CD5BAE" w:rsidP="00493138">
      <w:pPr>
        <w:spacing w:before="120" w:line="276" w:lineRule="auto"/>
        <w:jc w:val="center"/>
        <w:rPr>
          <w:rFonts w:eastAsia="Arial"/>
          <w:b/>
          <w:color w:val="010205"/>
          <w:sz w:val="20"/>
          <w:szCs w:val="20"/>
        </w:rPr>
      </w:pPr>
      <w:r w:rsidRPr="0001291E">
        <w:rPr>
          <w:noProof/>
          <w:sz w:val="20"/>
          <w:szCs w:val="20"/>
          <w:lang w:val="en-IN" w:eastAsia="en-IN"/>
        </w:rPr>
        <w:drawing>
          <wp:inline distT="0" distB="0" distL="0" distR="0" wp14:anchorId="06F2EBAC" wp14:editId="0FA8CFF6">
            <wp:extent cx="4347845" cy="2385060"/>
            <wp:effectExtent l="0" t="0" r="14605" b="15240"/>
            <wp:docPr id="1174774674" name="Chart 1">
              <a:extLst xmlns:a="http://schemas.openxmlformats.org/drawingml/2006/main">
                <a:ext uri="{FF2B5EF4-FFF2-40B4-BE49-F238E27FC236}">
                  <a16:creationId xmlns:a16="http://schemas.microsoft.com/office/drawing/2014/main" id="{539D202C-74E6-D622-B6F5-AF83CB10EB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C64FB0B" w14:textId="77777777" w:rsidR="00475FA2" w:rsidRDefault="00475FA2" w:rsidP="00475FA2">
      <w:pPr>
        <w:spacing w:before="120" w:line="276" w:lineRule="auto"/>
        <w:rPr>
          <w:b/>
          <w:bCs/>
          <w:sz w:val="20"/>
          <w:szCs w:val="20"/>
        </w:rPr>
        <w:sectPr w:rsidR="00475FA2" w:rsidSect="00475FA2">
          <w:type w:val="continuous"/>
          <w:pgSz w:w="12240" w:h="15840" w:code="1"/>
          <w:pgMar w:top="1440" w:right="1440" w:bottom="1440" w:left="1440" w:header="706" w:footer="706" w:gutter="0"/>
          <w:cols w:space="720"/>
          <w:docGrid w:linePitch="299"/>
        </w:sectPr>
      </w:pPr>
    </w:p>
    <w:p w14:paraId="1AA32AF8" w14:textId="77777777" w:rsidR="00CD5BAE" w:rsidRPr="0001291E" w:rsidRDefault="00CD5BAE" w:rsidP="00475FA2">
      <w:pPr>
        <w:spacing w:before="120" w:line="276" w:lineRule="auto"/>
        <w:rPr>
          <w:b/>
          <w:bCs/>
          <w:sz w:val="20"/>
          <w:szCs w:val="20"/>
        </w:rPr>
      </w:pPr>
      <w:r w:rsidRPr="0001291E">
        <w:rPr>
          <w:b/>
          <w:bCs/>
          <w:sz w:val="20"/>
          <w:szCs w:val="20"/>
        </w:rPr>
        <w:t>Interpretation:</w:t>
      </w:r>
    </w:p>
    <w:p w14:paraId="00B41E86" w14:textId="77777777" w:rsidR="00CD5BAE" w:rsidRPr="0001291E" w:rsidRDefault="00CD5BAE" w:rsidP="00475FA2">
      <w:pPr>
        <w:spacing w:before="120" w:line="276" w:lineRule="auto"/>
        <w:jc w:val="both"/>
        <w:rPr>
          <w:sz w:val="20"/>
          <w:szCs w:val="20"/>
        </w:rPr>
      </w:pPr>
      <w:r w:rsidRPr="0001291E">
        <w:rPr>
          <w:sz w:val="20"/>
          <w:szCs w:val="20"/>
        </w:rPr>
        <w:t xml:space="preserve">The table below shows respondents' beliefs about whether ESG investments will become mainstream in the next three years. It is clear that 41% of respondents agree that ESG investing will gain widespread acceptance, indicating a strong belief in the growing importance of sustainable investments. Additionally, 25% of respondents strongly agree, further reinforcing confidence in the mainstream adoption of ESG investing. Meanwhile, 33% of respondents remain neutral, suggesting uncertainty about the pace of ESG adoption or its long-term viability. Only 1% of respondents disagree, indicating minimal skepticism about ESG's future growth. Overall, the data suggests </w:t>
      </w:r>
      <w:r w:rsidRPr="0001291E">
        <w:rPr>
          <w:sz w:val="20"/>
          <w:szCs w:val="20"/>
        </w:rPr>
        <w:t>that while the majority of investors expect ESG investing to become mainstream, a significant portion remains uncertain, possibly due to market dynamics, regulatory factors, or performance concerns.</w:t>
      </w:r>
    </w:p>
    <w:p w14:paraId="2D6A1249" w14:textId="77777777" w:rsidR="008563AD" w:rsidRPr="0001291E" w:rsidRDefault="008563AD" w:rsidP="00475FA2">
      <w:pPr>
        <w:pStyle w:val="BodyText"/>
        <w:spacing w:before="120" w:line="276" w:lineRule="auto"/>
        <w:rPr>
          <w:b/>
          <w:bCs/>
          <w:sz w:val="20"/>
          <w:szCs w:val="20"/>
        </w:rPr>
      </w:pPr>
      <w:r w:rsidRPr="0001291E">
        <w:rPr>
          <w:b/>
          <w:bCs/>
          <w:sz w:val="20"/>
          <w:szCs w:val="20"/>
        </w:rPr>
        <w:t>Hypothesis Testing:</w:t>
      </w:r>
    </w:p>
    <w:p w14:paraId="594C3929" w14:textId="77777777" w:rsidR="008563AD" w:rsidRPr="0001291E" w:rsidRDefault="008563AD" w:rsidP="00475FA2">
      <w:pPr>
        <w:spacing w:before="120" w:line="276" w:lineRule="auto"/>
        <w:jc w:val="both"/>
        <w:rPr>
          <w:b/>
          <w:bCs/>
          <w:sz w:val="20"/>
          <w:szCs w:val="20"/>
        </w:rPr>
      </w:pPr>
      <w:r w:rsidRPr="0001291E">
        <w:rPr>
          <w:b/>
          <w:bCs/>
          <w:sz w:val="20"/>
          <w:szCs w:val="20"/>
        </w:rPr>
        <w:t xml:space="preserve">Hypothesis 1: </w:t>
      </w:r>
    </w:p>
    <w:p w14:paraId="5C39AE0A" w14:textId="77777777" w:rsidR="008563AD" w:rsidRPr="0001291E" w:rsidRDefault="008563AD" w:rsidP="00475FA2">
      <w:pPr>
        <w:spacing w:before="120" w:line="276" w:lineRule="auto"/>
        <w:jc w:val="both"/>
        <w:rPr>
          <w:sz w:val="20"/>
          <w:szCs w:val="20"/>
        </w:rPr>
      </w:pPr>
      <w:r w:rsidRPr="0001291E">
        <w:rPr>
          <w:sz w:val="20"/>
          <w:szCs w:val="20"/>
        </w:rPr>
        <w:t xml:space="preserve">H₀₁: There is no significant relationship between awareness of ESG investing and the likelihood of investing in ESG-compliant products. </w:t>
      </w:r>
    </w:p>
    <w:p w14:paraId="2BD68ECD" w14:textId="77777777" w:rsidR="008563AD" w:rsidRDefault="008563AD" w:rsidP="00475FA2">
      <w:pPr>
        <w:spacing w:before="120" w:line="276" w:lineRule="auto"/>
        <w:jc w:val="both"/>
        <w:rPr>
          <w:sz w:val="20"/>
          <w:szCs w:val="20"/>
        </w:rPr>
      </w:pPr>
      <w:r w:rsidRPr="0001291E">
        <w:rPr>
          <w:sz w:val="20"/>
          <w:szCs w:val="20"/>
        </w:rPr>
        <w:t>H₁₁: There is a significant relationship between awareness of ESG investing and the likelihood of investing in ESG-compliant products.</w:t>
      </w:r>
    </w:p>
    <w:p w14:paraId="48FFBF2B" w14:textId="77777777" w:rsidR="00475FA2" w:rsidRDefault="00475FA2" w:rsidP="00475FA2">
      <w:pPr>
        <w:spacing w:before="120" w:line="276" w:lineRule="auto"/>
        <w:rPr>
          <w:sz w:val="20"/>
          <w:szCs w:val="20"/>
        </w:rPr>
        <w:sectPr w:rsidR="00475FA2" w:rsidSect="00475FA2">
          <w:type w:val="continuous"/>
          <w:pgSz w:w="12240" w:h="15840" w:code="1"/>
          <w:pgMar w:top="1440" w:right="1440" w:bottom="1440" w:left="1440" w:header="706" w:footer="706" w:gutter="0"/>
          <w:cols w:num="2" w:space="720"/>
          <w:docGrid w:linePitch="299"/>
        </w:sectPr>
      </w:pPr>
    </w:p>
    <w:p w14:paraId="7E9AEFE4" w14:textId="77777777" w:rsidR="004E0431" w:rsidRDefault="004E0431" w:rsidP="00475FA2">
      <w:pPr>
        <w:spacing w:before="120" w:line="276" w:lineRule="auto"/>
        <w:rPr>
          <w:sz w:val="20"/>
          <w:szCs w:val="20"/>
        </w:rPr>
      </w:pPr>
    </w:p>
    <w:p w14:paraId="613107CB" w14:textId="77777777" w:rsidR="008563AD" w:rsidRPr="0001291E" w:rsidRDefault="008563AD" w:rsidP="00475FA2">
      <w:pPr>
        <w:spacing w:before="120" w:line="276" w:lineRule="auto"/>
        <w:jc w:val="center"/>
        <w:rPr>
          <w:b/>
          <w:bCs/>
          <w:sz w:val="20"/>
          <w:szCs w:val="20"/>
        </w:rPr>
      </w:pPr>
      <w:r w:rsidRPr="0001291E">
        <w:rPr>
          <w:b/>
          <w:bCs/>
          <w:noProof/>
          <w:sz w:val="20"/>
          <w:szCs w:val="20"/>
          <w:lang w:val="en-IN" w:eastAsia="en-IN"/>
        </w:rPr>
        <w:lastRenderedPageBreak/>
        <w:drawing>
          <wp:inline distT="0" distB="0" distL="0" distR="0" wp14:anchorId="01BBD5BA" wp14:editId="6295D5F1">
            <wp:extent cx="4882244" cy="1577340"/>
            <wp:effectExtent l="0" t="0" r="0" b="3810"/>
            <wp:docPr id="1679630113" name="Picture 1679630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905348" cy="1584804"/>
                    </a:xfrm>
                    <a:prstGeom prst="rect">
                      <a:avLst/>
                    </a:prstGeom>
                  </pic:spPr>
                </pic:pic>
              </a:graphicData>
            </a:graphic>
          </wp:inline>
        </w:drawing>
      </w:r>
    </w:p>
    <w:p w14:paraId="2080BF24" w14:textId="2888DF17" w:rsidR="008563AD" w:rsidRPr="0001291E" w:rsidRDefault="008563AD" w:rsidP="00475FA2">
      <w:pPr>
        <w:spacing w:before="120" w:line="276" w:lineRule="auto"/>
        <w:jc w:val="center"/>
        <w:rPr>
          <w:b/>
          <w:bCs/>
          <w:sz w:val="20"/>
          <w:szCs w:val="20"/>
        </w:rPr>
      </w:pPr>
      <w:r w:rsidRPr="0001291E">
        <w:rPr>
          <w:b/>
          <w:bCs/>
          <w:noProof/>
          <w:sz w:val="20"/>
          <w:szCs w:val="20"/>
          <w:lang w:val="en-IN" w:eastAsia="en-IN"/>
        </w:rPr>
        <w:drawing>
          <wp:inline distT="0" distB="0" distL="0" distR="0" wp14:anchorId="7416CDFC" wp14:editId="21425F12">
            <wp:extent cx="4838700" cy="1887554"/>
            <wp:effectExtent l="0" t="0" r="0" b="0"/>
            <wp:docPr id="1676761490" name="Picture 1676761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851171" cy="1892419"/>
                    </a:xfrm>
                    <a:prstGeom prst="rect">
                      <a:avLst/>
                    </a:prstGeom>
                  </pic:spPr>
                </pic:pic>
              </a:graphicData>
            </a:graphic>
          </wp:inline>
        </w:drawing>
      </w:r>
    </w:p>
    <w:p w14:paraId="06318D2A" w14:textId="77777777" w:rsidR="008563AD" w:rsidRPr="0001291E" w:rsidRDefault="008563AD" w:rsidP="00475FA2">
      <w:pPr>
        <w:spacing w:before="120" w:line="276" w:lineRule="auto"/>
        <w:jc w:val="center"/>
        <w:rPr>
          <w:b/>
          <w:bCs/>
          <w:sz w:val="20"/>
          <w:szCs w:val="20"/>
        </w:rPr>
      </w:pPr>
      <w:r w:rsidRPr="0001291E">
        <w:rPr>
          <w:b/>
          <w:bCs/>
          <w:noProof/>
          <w:sz w:val="20"/>
          <w:szCs w:val="20"/>
          <w:lang w:val="en-IN" w:eastAsia="en-IN"/>
        </w:rPr>
        <w:drawing>
          <wp:inline distT="0" distB="0" distL="0" distR="0" wp14:anchorId="737067A2" wp14:editId="3A44A2FE">
            <wp:extent cx="3914775" cy="2076450"/>
            <wp:effectExtent l="0" t="0" r="9525" b="0"/>
            <wp:docPr id="2110633992" name="Picture 2110633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914775" cy="2076450"/>
                    </a:xfrm>
                    <a:prstGeom prst="rect">
                      <a:avLst/>
                    </a:prstGeom>
                  </pic:spPr>
                </pic:pic>
              </a:graphicData>
            </a:graphic>
          </wp:inline>
        </w:drawing>
      </w:r>
    </w:p>
    <w:p w14:paraId="063ED39A" w14:textId="77777777" w:rsidR="00475FA2" w:rsidRDefault="00475FA2" w:rsidP="00475FA2">
      <w:pPr>
        <w:spacing w:before="120" w:line="276" w:lineRule="auto"/>
        <w:rPr>
          <w:b/>
          <w:bCs/>
          <w:sz w:val="20"/>
          <w:szCs w:val="20"/>
          <w:lang w:eastAsia="en-IN"/>
        </w:rPr>
        <w:sectPr w:rsidR="00475FA2" w:rsidSect="00475FA2">
          <w:type w:val="continuous"/>
          <w:pgSz w:w="12240" w:h="15840" w:code="1"/>
          <w:pgMar w:top="1440" w:right="1440" w:bottom="1440" w:left="1440" w:header="706" w:footer="706" w:gutter="0"/>
          <w:cols w:space="720"/>
          <w:docGrid w:linePitch="299"/>
        </w:sectPr>
      </w:pPr>
    </w:p>
    <w:p w14:paraId="6A7B99AB" w14:textId="6648A1DC" w:rsidR="008563AD" w:rsidRPr="0001291E" w:rsidRDefault="008563AD" w:rsidP="00475FA2">
      <w:pPr>
        <w:spacing w:before="120" w:line="276" w:lineRule="auto"/>
        <w:rPr>
          <w:sz w:val="20"/>
          <w:szCs w:val="20"/>
          <w:lang w:eastAsia="en-IN"/>
        </w:rPr>
      </w:pPr>
      <w:r w:rsidRPr="0001291E">
        <w:rPr>
          <w:b/>
          <w:bCs/>
          <w:sz w:val="20"/>
          <w:szCs w:val="20"/>
          <w:lang w:eastAsia="en-IN"/>
        </w:rPr>
        <w:t>Interpretation:</w:t>
      </w:r>
    </w:p>
    <w:p w14:paraId="22C33507" w14:textId="77777777" w:rsidR="008563AD" w:rsidRPr="0001291E" w:rsidRDefault="008563AD" w:rsidP="00BC2511">
      <w:pPr>
        <w:spacing w:before="120" w:line="276" w:lineRule="auto"/>
        <w:jc w:val="both"/>
        <w:rPr>
          <w:sz w:val="20"/>
          <w:szCs w:val="20"/>
          <w:lang w:eastAsia="en-IN"/>
        </w:rPr>
      </w:pPr>
      <w:r w:rsidRPr="0001291E">
        <w:rPr>
          <w:sz w:val="20"/>
          <w:szCs w:val="20"/>
          <w:lang w:eastAsia="en-IN"/>
        </w:rPr>
        <w:t>The results of the Chi-Square tests (Pearson Chi-Square = 15.924a, df = 2, p&lt;.001; Likelihood Ratio = 16.155, df = 2, p&lt;.001; Linear-by-Linear Association = 13.267, df = 1, p&lt;.001) show a statistically significant result.</w:t>
      </w:r>
    </w:p>
    <w:p w14:paraId="35D60358" w14:textId="77777777" w:rsidR="008563AD" w:rsidRPr="0001291E" w:rsidRDefault="008563AD" w:rsidP="00BC2511">
      <w:pPr>
        <w:spacing w:before="120" w:line="276" w:lineRule="auto"/>
        <w:jc w:val="both"/>
        <w:rPr>
          <w:sz w:val="20"/>
          <w:szCs w:val="20"/>
          <w:lang w:eastAsia="en-IN"/>
        </w:rPr>
      </w:pPr>
      <w:r w:rsidRPr="0001291E">
        <w:rPr>
          <w:sz w:val="20"/>
          <w:szCs w:val="20"/>
          <w:lang w:eastAsia="en-IN"/>
        </w:rPr>
        <w:t xml:space="preserve">Since the p-value (p&lt;.001) is less than the conventional significance level of 0.05, we </w:t>
      </w:r>
      <w:r w:rsidRPr="0001291E">
        <w:rPr>
          <w:b/>
          <w:bCs/>
          <w:sz w:val="20"/>
          <w:szCs w:val="20"/>
          <w:lang w:eastAsia="en-IN"/>
        </w:rPr>
        <w:t xml:space="preserve">reject the </w:t>
      </w:r>
      <w:r w:rsidRPr="0001291E">
        <w:rPr>
          <w:b/>
          <w:bCs/>
          <w:sz w:val="20"/>
          <w:szCs w:val="20"/>
          <w:lang w:eastAsia="en-IN"/>
        </w:rPr>
        <w:t>null hypothesis (H₀₁)</w:t>
      </w:r>
      <w:r w:rsidRPr="0001291E">
        <w:rPr>
          <w:sz w:val="20"/>
          <w:szCs w:val="20"/>
          <w:lang w:eastAsia="en-IN"/>
        </w:rPr>
        <w:t>.</w:t>
      </w:r>
    </w:p>
    <w:p w14:paraId="6E4B0A7A" w14:textId="77777777" w:rsidR="008563AD" w:rsidRPr="0001291E" w:rsidRDefault="008563AD" w:rsidP="00BC2511">
      <w:pPr>
        <w:spacing w:before="120" w:line="276" w:lineRule="auto"/>
        <w:jc w:val="both"/>
        <w:rPr>
          <w:sz w:val="20"/>
          <w:szCs w:val="20"/>
          <w:lang w:eastAsia="en-IN"/>
        </w:rPr>
      </w:pPr>
      <w:r w:rsidRPr="0001291E">
        <w:rPr>
          <w:b/>
          <w:bCs/>
          <w:sz w:val="20"/>
          <w:szCs w:val="20"/>
          <w:lang w:eastAsia="en-IN"/>
        </w:rPr>
        <w:t>Conclusion:</w:t>
      </w:r>
    </w:p>
    <w:p w14:paraId="4FDDDD69" w14:textId="77777777" w:rsidR="008563AD" w:rsidRPr="0001291E" w:rsidRDefault="008563AD" w:rsidP="00BC2511">
      <w:pPr>
        <w:spacing w:before="120" w:line="276" w:lineRule="auto"/>
        <w:jc w:val="both"/>
        <w:rPr>
          <w:sz w:val="20"/>
          <w:szCs w:val="20"/>
          <w:lang w:eastAsia="en-IN"/>
        </w:rPr>
      </w:pPr>
      <w:r w:rsidRPr="0001291E">
        <w:rPr>
          <w:sz w:val="20"/>
          <w:szCs w:val="20"/>
          <w:lang w:eastAsia="en-IN"/>
        </w:rPr>
        <w:t xml:space="preserve">There is a </w:t>
      </w:r>
      <w:r w:rsidRPr="0001291E">
        <w:rPr>
          <w:b/>
          <w:bCs/>
          <w:sz w:val="20"/>
          <w:szCs w:val="20"/>
          <w:lang w:eastAsia="en-IN"/>
        </w:rPr>
        <w:t>statistically significant relationship between awareness of ESG investing and the likelihood of investing in ESG-compliant products</w:t>
      </w:r>
      <w:r w:rsidRPr="0001291E">
        <w:rPr>
          <w:sz w:val="20"/>
          <w:szCs w:val="20"/>
          <w:lang w:eastAsia="en-IN"/>
        </w:rPr>
        <w:t>. This suggests that individuals with different levels of awareness of ESG investing also have significantly different likelihoods of investing in products that comply with ESG principles.</w:t>
      </w:r>
    </w:p>
    <w:p w14:paraId="0D83DEFD" w14:textId="77777777" w:rsidR="008563AD" w:rsidRPr="0001291E" w:rsidRDefault="008563AD" w:rsidP="00BC2511">
      <w:pPr>
        <w:spacing w:before="120" w:line="276" w:lineRule="auto"/>
        <w:jc w:val="both"/>
        <w:rPr>
          <w:sz w:val="20"/>
          <w:szCs w:val="20"/>
          <w:lang w:eastAsia="en-IN"/>
        </w:rPr>
      </w:pPr>
      <w:r w:rsidRPr="0001291E">
        <w:rPr>
          <w:sz w:val="20"/>
          <w:szCs w:val="20"/>
          <w:lang w:eastAsia="en-IN"/>
        </w:rPr>
        <w:lastRenderedPageBreak/>
        <w:t>The very low p-value (&lt;.001) indicates strong evidence against the null hypothesis.</w:t>
      </w:r>
    </w:p>
    <w:p w14:paraId="170E3B39" w14:textId="77777777" w:rsidR="008563AD" w:rsidRPr="0001291E" w:rsidRDefault="008563AD" w:rsidP="00475FA2">
      <w:pPr>
        <w:spacing w:before="120" w:line="276" w:lineRule="auto"/>
        <w:jc w:val="both"/>
        <w:rPr>
          <w:b/>
          <w:bCs/>
          <w:sz w:val="20"/>
          <w:szCs w:val="20"/>
        </w:rPr>
      </w:pPr>
      <w:r w:rsidRPr="0001291E">
        <w:rPr>
          <w:b/>
          <w:bCs/>
          <w:sz w:val="20"/>
          <w:szCs w:val="20"/>
        </w:rPr>
        <w:t>Hypothesis 2:</w:t>
      </w:r>
    </w:p>
    <w:p w14:paraId="1802ACBC" w14:textId="77777777" w:rsidR="008563AD" w:rsidRPr="0001291E" w:rsidRDefault="008563AD" w:rsidP="00475FA2">
      <w:pPr>
        <w:spacing w:before="120" w:line="276" w:lineRule="auto"/>
        <w:jc w:val="both"/>
        <w:rPr>
          <w:bCs/>
          <w:sz w:val="20"/>
          <w:szCs w:val="20"/>
        </w:rPr>
      </w:pPr>
      <w:r w:rsidRPr="0001291E">
        <w:rPr>
          <w:bCs/>
          <w:sz w:val="20"/>
          <w:szCs w:val="20"/>
        </w:rPr>
        <w:t xml:space="preserve">H₀₂: There is no significant relationship between the factors influencing investment decisions (such as expected returns, alignment with personal values, risk </w:t>
      </w:r>
      <w:r w:rsidRPr="0001291E">
        <w:rPr>
          <w:bCs/>
          <w:sz w:val="20"/>
          <w:szCs w:val="20"/>
        </w:rPr>
        <w:t>management, regulatory incentives, and peer influence) and the likelihood of investing in ESG-compliant products.</w:t>
      </w:r>
    </w:p>
    <w:p w14:paraId="39A97686" w14:textId="77777777" w:rsidR="008563AD" w:rsidRDefault="008563AD" w:rsidP="00475FA2">
      <w:pPr>
        <w:spacing w:before="120" w:line="276" w:lineRule="auto"/>
        <w:jc w:val="both"/>
        <w:rPr>
          <w:bCs/>
          <w:sz w:val="20"/>
          <w:szCs w:val="20"/>
        </w:rPr>
      </w:pPr>
      <w:r w:rsidRPr="0001291E">
        <w:rPr>
          <w:bCs/>
          <w:sz w:val="20"/>
          <w:szCs w:val="20"/>
        </w:rPr>
        <w:t>H₁₂: There is a significant relationship between the factors influencing investment decisions and the likelihood of investing in ESG-compliant products.</w:t>
      </w:r>
    </w:p>
    <w:p w14:paraId="33486C06" w14:textId="77777777" w:rsidR="00475FA2" w:rsidRDefault="00475FA2" w:rsidP="00475FA2">
      <w:pPr>
        <w:spacing w:before="120" w:line="276" w:lineRule="auto"/>
        <w:jc w:val="both"/>
        <w:rPr>
          <w:bCs/>
          <w:sz w:val="20"/>
          <w:szCs w:val="20"/>
        </w:rPr>
        <w:sectPr w:rsidR="00475FA2" w:rsidSect="00475FA2">
          <w:type w:val="continuous"/>
          <w:pgSz w:w="12240" w:h="15840" w:code="1"/>
          <w:pgMar w:top="1440" w:right="1440" w:bottom="1440" w:left="1440" w:header="706" w:footer="706" w:gutter="0"/>
          <w:cols w:num="2" w:space="720"/>
          <w:docGrid w:linePitch="299"/>
        </w:sectPr>
      </w:pPr>
    </w:p>
    <w:p w14:paraId="3534BE6F" w14:textId="77777777" w:rsidR="008563AD" w:rsidRPr="0001291E" w:rsidRDefault="008563AD" w:rsidP="00475FA2">
      <w:pPr>
        <w:spacing w:before="120" w:line="276" w:lineRule="auto"/>
        <w:jc w:val="center"/>
        <w:rPr>
          <w:b/>
          <w:bCs/>
          <w:sz w:val="20"/>
          <w:szCs w:val="20"/>
        </w:rPr>
      </w:pPr>
      <w:r w:rsidRPr="0001291E">
        <w:rPr>
          <w:b/>
          <w:bCs/>
          <w:noProof/>
          <w:sz w:val="20"/>
          <w:szCs w:val="20"/>
          <w:lang w:val="en-IN" w:eastAsia="en-IN"/>
        </w:rPr>
        <w:drawing>
          <wp:inline distT="0" distB="0" distL="0" distR="0" wp14:anchorId="762DCEE6" wp14:editId="7272813B">
            <wp:extent cx="5572125" cy="1714500"/>
            <wp:effectExtent l="0" t="0" r="9525" b="0"/>
            <wp:docPr id="1818053143" name="Picture 1818053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572125" cy="1714500"/>
                    </a:xfrm>
                    <a:prstGeom prst="rect">
                      <a:avLst/>
                    </a:prstGeom>
                  </pic:spPr>
                </pic:pic>
              </a:graphicData>
            </a:graphic>
          </wp:inline>
        </w:drawing>
      </w:r>
    </w:p>
    <w:p w14:paraId="437A744D" w14:textId="21CD5AF9" w:rsidR="008563AD" w:rsidRDefault="008563AD" w:rsidP="00475FA2">
      <w:pPr>
        <w:spacing w:before="120" w:line="276" w:lineRule="auto"/>
        <w:jc w:val="center"/>
        <w:rPr>
          <w:b/>
          <w:bCs/>
          <w:noProof/>
          <w:sz w:val="20"/>
          <w:szCs w:val="20"/>
          <w:lang w:val="en-IN" w:eastAsia="en-IN"/>
        </w:rPr>
      </w:pPr>
      <w:r w:rsidRPr="0001291E">
        <w:rPr>
          <w:b/>
          <w:bCs/>
          <w:noProof/>
          <w:sz w:val="20"/>
          <w:szCs w:val="20"/>
          <w:lang w:val="en-IN" w:eastAsia="en-IN"/>
        </w:rPr>
        <w:drawing>
          <wp:inline distT="0" distB="0" distL="0" distR="0" wp14:anchorId="53CB810C" wp14:editId="723C16AD">
            <wp:extent cx="5273040" cy="1729740"/>
            <wp:effectExtent l="0" t="0" r="3810" b="3810"/>
            <wp:docPr id="1059739304" name="Picture 1059739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82347" cy="1732793"/>
                    </a:xfrm>
                    <a:prstGeom prst="rect">
                      <a:avLst/>
                    </a:prstGeom>
                  </pic:spPr>
                </pic:pic>
              </a:graphicData>
            </a:graphic>
          </wp:inline>
        </w:drawing>
      </w:r>
    </w:p>
    <w:p w14:paraId="34279D58" w14:textId="3E438322" w:rsidR="008307CE" w:rsidRPr="0001291E" w:rsidRDefault="008563AD" w:rsidP="00475FA2">
      <w:pPr>
        <w:spacing w:before="120" w:line="276" w:lineRule="auto"/>
        <w:jc w:val="center"/>
        <w:rPr>
          <w:b/>
          <w:bCs/>
          <w:sz w:val="20"/>
          <w:szCs w:val="20"/>
        </w:rPr>
      </w:pPr>
      <w:r w:rsidRPr="0001291E">
        <w:rPr>
          <w:b/>
          <w:bCs/>
          <w:noProof/>
          <w:sz w:val="20"/>
          <w:szCs w:val="20"/>
          <w:lang w:val="en-IN" w:eastAsia="en-IN"/>
        </w:rPr>
        <w:drawing>
          <wp:inline distT="0" distB="0" distL="0" distR="0" wp14:anchorId="66BF0E4A" wp14:editId="0B20C117">
            <wp:extent cx="4488180" cy="1550108"/>
            <wp:effectExtent l="0" t="0" r="7620" b="0"/>
            <wp:docPr id="1728276185" name="Picture 1728276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500993" cy="1554533"/>
                    </a:xfrm>
                    <a:prstGeom prst="rect">
                      <a:avLst/>
                    </a:prstGeom>
                  </pic:spPr>
                </pic:pic>
              </a:graphicData>
            </a:graphic>
          </wp:inline>
        </w:drawing>
      </w:r>
    </w:p>
    <w:p w14:paraId="1D4149C2" w14:textId="77777777" w:rsidR="00475FA2" w:rsidRDefault="00475FA2" w:rsidP="00475FA2">
      <w:pPr>
        <w:spacing w:before="120" w:line="276" w:lineRule="auto"/>
        <w:jc w:val="both"/>
        <w:rPr>
          <w:b/>
          <w:bCs/>
          <w:sz w:val="20"/>
          <w:szCs w:val="20"/>
        </w:rPr>
        <w:sectPr w:rsidR="00475FA2" w:rsidSect="00475FA2">
          <w:type w:val="continuous"/>
          <w:pgSz w:w="12240" w:h="15840" w:code="1"/>
          <w:pgMar w:top="1440" w:right="1440" w:bottom="1440" w:left="1440" w:header="706" w:footer="706" w:gutter="0"/>
          <w:cols w:space="720"/>
          <w:docGrid w:linePitch="299"/>
        </w:sectPr>
      </w:pPr>
    </w:p>
    <w:p w14:paraId="26C15BFD" w14:textId="523F50ED" w:rsidR="00C509A1" w:rsidRPr="0001291E" w:rsidRDefault="00782F83" w:rsidP="00475FA2">
      <w:pPr>
        <w:spacing w:before="120" w:line="276" w:lineRule="auto"/>
        <w:jc w:val="both"/>
        <w:rPr>
          <w:b/>
          <w:bCs/>
          <w:sz w:val="20"/>
          <w:szCs w:val="20"/>
        </w:rPr>
      </w:pPr>
      <w:r w:rsidRPr="0001291E">
        <w:rPr>
          <w:b/>
          <w:bCs/>
          <w:sz w:val="20"/>
          <w:szCs w:val="20"/>
        </w:rPr>
        <w:t>Interpretation:</w:t>
      </w:r>
    </w:p>
    <w:p w14:paraId="62F2D37F" w14:textId="77777777" w:rsidR="00C509A1" w:rsidRDefault="00C509A1" w:rsidP="00475FA2">
      <w:pPr>
        <w:pStyle w:val="NormalWeb"/>
        <w:spacing w:before="120" w:beforeAutospacing="0" w:after="0" w:afterAutospacing="0" w:line="276" w:lineRule="auto"/>
        <w:jc w:val="both"/>
        <w:rPr>
          <w:rStyle w:val="selected"/>
          <w:rFonts w:eastAsiaTheme="majorEastAsia"/>
          <w:sz w:val="20"/>
          <w:szCs w:val="20"/>
        </w:rPr>
      </w:pPr>
      <w:r w:rsidRPr="0001291E">
        <w:rPr>
          <w:rStyle w:val="selected"/>
          <w:rFonts w:eastAsiaTheme="majorEastAsia"/>
          <w:sz w:val="20"/>
          <w:szCs w:val="20"/>
        </w:rPr>
        <w:t xml:space="preserve">The results of the Chi-Square tests show a statistically significant result. The Pearson Chi-Square test has a value of 9.602 with 4 degrees of freedom and a p-value </w:t>
      </w:r>
      <w:r w:rsidRPr="0001291E">
        <w:rPr>
          <w:rStyle w:val="selected"/>
          <w:rFonts w:eastAsiaTheme="majorEastAsia"/>
          <w:sz w:val="20"/>
          <w:szCs w:val="20"/>
        </w:rPr>
        <w:t>of 0.048. The Likelihood Ratio test also indicates significance (Value = 9.910, df = 4, p = 0.042).</w:t>
      </w:r>
    </w:p>
    <w:p w14:paraId="18A8A022" w14:textId="77777777" w:rsidR="00C509A1" w:rsidRPr="0001291E" w:rsidRDefault="00C509A1" w:rsidP="00475FA2">
      <w:pPr>
        <w:pStyle w:val="NormalWeb"/>
        <w:spacing w:before="120" w:beforeAutospacing="0" w:after="0" w:afterAutospacing="0" w:line="276" w:lineRule="auto"/>
        <w:jc w:val="both"/>
        <w:rPr>
          <w:sz w:val="20"/>
          <w:szCs w:val="20"/>
        </w:rPr>
      </w:pPr>
      <w:r w:rsidRPr="0001291E">
        <w:rPr>
          <w:rStyle w:val="selected"/>
          <w:rFonts w:eastAsiaTheme="majorEastAsia"/>
          <w:sz w:val="20"/>
          <w:szCs w:val="20"/>
        </w:rPr>
        <w:t xml:space="preserve">Since the p-value (0.048 for Pearson) is less than the conventional significance level of 0.05, we </w:t>
      </w:r>
      <w:r w:rsidRPr="0001291E">
        <w:rPr>
          <w:rStyle w:val="selected"/>
          <w:rFonts w:eastAsiaTheme="majorEastAsia"/>
          <w:b/>
          <w:bCs/>
          <w:sz w:val="20"/>
          <w:szCs w:val="20"/>
        </w:rPr>
        <w:t>reject the null hypothesis (H₀₂)</w:t>
      </w:r>
      <w:r w:rsidRPr="0001291E">
        <w:rPr>
          <w:rStyle w:val="selected"/>
          <w:rFonts w:eastAsiaTheme="majorEastAsia"/>
          <w:sz w:val="20"/>
          <w:szCs w:val="20"/>
        </w:rPr>
        <w:t>.</w:t>
      </w:r>
    </w:p>
    <w:p w14:paraId="1813E889" w14:textId="797D5C89" w:rsidR="00C509A1" w:rsidRPr="0001291E" w:rsidRDefault="00C509A1" w:rsidP="00475FA2">
      <w:pPr>
        <w:pStyle w:val="BodyText"/>
        <w:spacing w:before="120" w:line="276" w:lineRule="auto"/>
        <w:jc w:val="both"/>
        <w:rPr>
          <w:sz w:val="20"/>
          <w:szCs w:val="20"/>
        </w:rPr>
      </w:pPr>
      <w:r w:rsidRPr="0001291E">
        <w:rPr>
          <w:rStyle w:val="selected"/>
          <w:rFonts w:eastAsiaTheme="majorEastAsia"/>
          <w:b/>
          <w:bCs/>
          <w:sz w:val="20"/>
          <w:szCs w:val="20"/>
        </w:rPr>
        <w:lastRenderedPageBreak/>
        <w:t>Conclusion:</w:t>
      </w:r>
    </w:p>
    <w:p w14:paraId="4ECC7B61" w14:textId="77777777" w:rsidR="00C509A1" w:rsidRPr="0001291E" w:rsidRDefault="00C509A1" w:rsidP="00475FA2">
      <w:pPr>
        <w:pStyle w:val="NormalWeb"/>
        <w:spacing w:before="120" w:beforeAutospacing="0" w:after="0" w:afterAutospacing="0" w:line="276" w:lineRule="auto"/>
        <w:jc w:val="both"/>
        <w:rPr>
          <w:sz w:val="20"/>
          <w:szCs w:val="20"/>
        </w:rPr>
      </w:pPr>
      <w:r w:rsidRPr="0001291E">
        <w:rPr>
          <w:rStyle w:val="selected"/>
          <w:rFonts w:eastAsiaTheme="majorEastAsia"/>
          <w:sz w:val="20"/>
          <w:szCs w:val="20"/>
        </w:rPr>
        <w:t xml:space="preserve">There is a </w:t>
      </w:r>
      <w:r w:rsidRPr="0001291E">
        <w:rPr>
          <w:rStyle w:val="selected"/>
          <w:rFonts w:eastAsiaTheme="majorEastAsia"/>
          <w:b/>
          <w:bCs/>
          <w:sz w:val="20"/>
          <w:szCs w:val="20"/>
        </w:rPr>
        <w:t>statistically significant relationship between the factors influencing investment decisions and the likelihood of investing in ESG-compliant products.</w:t>
      </w:r>
      <w:r w:rsidRPr="0001291E">
        <w:rPr>
          <w:rStyle w:val="selected"/>
          <w:rFonts w:eastAsiaTheme="majorEastAsia"/>
          <w:sz w:val="20"/>
          <w:szCs w:val="20"/>
        </w:rPr>
        <w:t xml:space="preserve"> This suggests that the likelihood of investing in ESG-compliant products varies depending on the factors that influence investment decisions.</w:t>
      </w:r>
    </w:p>
    <w:p w14:paraId="15A60724" w14:textId="77777777" w:rsidR="00C509A1" w:rsidRPr="0001291E" w:rsidRDefault="00C509A1" w:rsidP="00475FA2">
      <w:pPr>
        <w:pStyle w:val="NormalWeb"/>
        <w:spacing w:before="120" w:beforeAutospacing="0" w:after="0" w:afterAutospacing="0" w:line="276" w:lineRule="auto"/>
        <w:jc w:val="both"/>
        <w:rPr>
          <w:sz w:val="20"/>
          <w:szCs w:val="20"/>
        </w:rPr>
      </w:pPr>
      <w:r w:rsidRPr="0001291E">
        <w:rPr>
          <w:rStyle w:val="selected"/>
          <w:rFonts w:eastAsiaTheme="majorEastAsia"/>
          <w:sz w:val="20"/>
          <w:szCs w:val="20"/>
        </w:rPr>
        <w:t>The p-value of 0.048 indicates that there is a 4.8% chance of observing this relationship if, in reality, there was no relationship between investment decision factors and ESG investing likelihood. This is below the 5% threshold we set for significance.</w:t>
      </w:r>
    </w:p>
    <w:p w14:paraId="1D6CADD2" w14:textId="77777777" w:rsidR="00C509A1" w:rsidRPr="0001291E" w:rsidRDefault="00C509A1" w:rsidP="00475FA2">
      <w:pPr>
        <w:pStyle w:val="NormalWeb"/>
        <w:spacing w:before="120" w:beforeAutospacing="0" w:after="0" w:afterAutospacing="0" w:line="276" w:lineRule="auto"/>
        <w:jc w:val="both"/>
        <w:rPr>
          <w:sz w:val="20"/>
          <w:szCs w:val="20"/>
        </w:rPr>
      </w:pPr>
      <w:r w:rsidRPr="0001291E">
        <w:rPr>
          <w:rStyle w:val="selected"/>
          <w:rFonts w:eastAsiaTheme="majorEastAsia"/>
          <w:b/>
          <w:bCs/>
          <w:sz w:val="20"/>
          <w:szCs w:val="20"/>
        </w:rPr>
        <w:t>In summary, the results indicate a statistically significant relationship, suggesting that factors like expected returns, personal values, risk management, regulatory incentives, and peer influence do play a role in whether someone invests in ESG-compliant products.</w:t>
      </w:r>
    </w:p>
    <w:p w14:paraId="79AFC0D2" w14:textId="621077FA" w:rsidR="00310439" w:rsidRPr="0001291E" w:rsidRDefault="00310439" w:rsidP="00475FA2">
      <w:pPr>
        <w:pStyle w:val="BodyText"/>
        <w:spacing w:before="120" w:line="276" w:lineRule="auto"/>
        <w:jc w:val="both"/>
        <w:rPr>
          <w:b/>
          <w:bCs/>
          <w:sz w:val="20"/>
          <w:szCs w:val="20"/>
        </w:rPr>
      </w:pPr>
      <w:r w:rsidRPr="0001291E">
        <w:rPr>
          <w:b/>
          <w:bCs/>
          <w:sz w:val="20"/>
          <w:szCs w:val="20"/>
        </w:rPr>
        <w:t>Finding</w:t>
      </w:r>
      <w:r w:rsidR="00782F83" w:rsidRPr="0001291E">
        <w:rPr>
          <w:b/>
          <w:bCs/>
          <w:sz w:val="20"/>
          <w:szCs w:val="20"/>
        </w:rPr>
        <w:t>s</w:t>
      </w:r>
      <w:r w:rsidRPr="0001291E">
        <w:rPr>
          <w:b/>
          <w:bCs/>
          <w:sz w:val="20"/>
          <w:szCs w:val="20"/>
        </w:rPr>
        <w:t>:</w:t>
      </w:r>
    </w:p>
    <w:p w14:paraId="668524C8" w14:textId="77777777" w:rsidR="00310439" w:rsidRPr="0001291E" w:rsidRDefault="00310439" w:rsidP="00475FA2">
      <w:pPr>
        <w:spacing w:before="120" w:line="276" w:lineRule="auto"/>
        <w:jc w:val="both"/>
        <w:rPr>
          <w:sz w:val="20"/>
          <w:szCs w:val="20"/>
        </w:rPr>
      </w:pPr>
      <w:r w:rsidRPr="0001291E">
        <w:rPr>
          <w:sz w:val="20"/>
          <w:szCs w:val="20"/>
        </w:rPr>
        <w:t>The findings of this research highlight key trends and insights into the impact of ESG awareness on personal investment decisions. The data collected from respondents reveal several important aspects of ESG investing behaviour, preferences, and barriers.</w:t>
      </w:r>
    </w:p>
    <w:p w14:paraId="1CE10D76" w14:textId="77777777" w:rsidR="00310439" w:rsidRPr="0001291E" w:rsidRDefault="00310439" w:rsidP="00475FA2">
      <w:pPr>
        <w:widowControl/>
        <w:numPr>
          <w:ilvl w:val="0"/>
          <w:numId w:val="3"/>
        </w:numPr>
        <w:autoSpaceDE/>
        <w:autoSpaceDN/>
        <w:spacing w:before="120" w:line="276" w:lineRule="auto"/>
        <w:ind w:left="360"/>
        <w:jc w:val="both"/>
        <w:rPr>
          <w:sz w:val="20"/>
          <w:szCs w:val="20"/>
        </w:rPr>
      </w:pPr>
      <w:r w:rsidRPr="0001291E">
        <w:rPr>
          <w:b/>
          <w:bCs/>
          <w:sz w:val="20"/>
          <w:szCs w:val="20"/>
        </w:rPr>
        <w:t>Investment Preferences:</w:t>
      </w:r>
    </w:p>
    <w:p w14:paraId="00CE2490" w14:textId="77777777" w:rsidR="00310439" w:rsidRPr="0001291E" w:rsidRDefault="00310439" w:rsidP="00475FA2">
      <w:pPr>
        <w:widowControl/>
        <w:numPr>
          <w:ilvl w:val="1"/>
          <w:numId w:val="3"/>
        </w:numPr>
        <w:autoSpaceDE/>
        <w:autoSpaceDN/>
        <w:spacing w:before="120" w:line="276" w:lineRule="auto"/>
        <w:ind w:left="360"/>
        <w:jc w:val="both"/>
        <w:rPr>
          <w:sz w:val="20"/>
          <w:szCs w:val="20"/>
        </w:rPr>
      </w:pPr>
      <w:r w:rsidRPr="0001291E">
        <w:rPr>
          <w:sz w:val="20"/>
          <w:szCs w:val="20"/>
        </w:rPr>
        <w:t>The majority of respondents (51%) invest in stocks, followed by mutual funds (34.5%). ESG-specific investments such as bonds, real estate, and cryptocurrencies receive significantly lower allocations.</w:t>
      </w:r>
    </w:p>
    <w:p w14:paraId="7F5D60BB" w14:textId="77777777" w:rsidR="00310439" w:rsidRPr="0001291E" w:rsidRDefault="00310439" w:rsidP="00475FA2">
      <w:pPr>
        <w:widowControl/>
        <w:numPr>
          <w:ilvl w:val="1"/>
          <w:numId w:val="3"/>
        </w:numPr>
        <w:autoSpaceDE/>
        <w:autoSpaceDN/>
        <w:spacing w:before="120" w:line="276" w:lineRule="auto"/>
        <w:ind w:left="360"/>
        <w:jc w:val="both"/>
        <w:rPr>
          <w:sz w:val="20"/>
          <w:szCs w:val="20"/>
        </w:rPr>
      </w:pPr>
      <w:r w:rsidRPr="0001291E">
        <w:rPr>
          <w:sz w:val="20"/>
          <w:szCs w:val="20"/>
        </w:rPr>
        <w:t>Capital appreciation is the most common investment objective (41%), while only 22% of respondents prioritize sustainable investing as their primary goal.</w:t>
      </w:r>
    </w:p>
    <w:p w14:paraId="3C54DD85" w14:textId="77777777" w:rsidR="00310439" w:rsidRPr="0001291E" w:rsidRDefault="00310439" w:rsidP="00475FA2">
      <w:pPr>
        <w:widowControl/>
        <w:numPr>
          <w:ilvl w:val="0"/>
          <w:numId w:val="3"/>
        </w:numPr>
        <w:autoSpaceDE/>
        <w:autoSpaceDN/>
        <w:spacing w:before="120" w:line="276" w:lineRule="auto"/>
        <w:ind w:left="360"/>
        <w:jc w:val="both"/>
        <w:rPr>
          <w:sz w:val="20"/>
          <w:szCs w:val="20"/>
        </w:rPr>
      </w:pPr>
      <w:r w:rsidRPr="0001291E">
        <w:rPr>
          <w:b/>
          <w:bCs/>
          <w:sz w:val="20"/>
          <w:szCs w:val="20"/>
        </w:rPr>
        <w:t>ESG Awareness and Familiarity:</w:t>
      </w:r>
    </w:p>
    <w:p w14:paraId="5FB4F959" w14:textId="32F83C9B" w:rsidR="008307CE" w:rsidRPr="0001291E" w:rsidRDefault="00310439" w:rsidP="00475FA2">
      <w:pPr>
        <w:widowControl/>
        <w:numPr>
          <w:ilvl w:val="1"/>
          <w:numId w:val="3"/>
        </w:numPr>
        <w:autoSpaceDE/>
        <w:autoSpaceDN/>
        <w:spacing w:before="120" w:line="276" w:lineRule="auto"/>
        <w:ind w:left="360"/>
        <w:jc w:val="both"/>
        <w:rPr>
          <w:sz w:val="20"/>
          <w:szCs w:val="20"/>
        </w:rPr>
      </w:pPr>
      <w:r w:rsidRPr="0001291E">
        <w:rPr>
          <w:sz w:val="20"/>
          <w:szCs w:val="20"/>
        </w:rPr>
        <w:t xml:space="preserve">Awareness of ESG investing remains relatively low, with 41% of respondents stating that they have heard about </w:t>
      </w:r>
    </w:p>
    <w:p w14:paraId="1EC318CD" w14:textId="6185A918" w:rsidR="00310439" w:rsidRPr="0001291E" w:rsidRDefault="00310439" w:rsidP="00475FA2">
      <w:pPr>
        <w:widowControl/>
        <w:numPr>
          <w:ilvl w:val="1"/>
          <w:numId w:val="3"/>
        </w:numPr>
        <w:autoSpaceDE/>
        <w:autoSpaceDN/>
        <w:spacing w:before="120" w:line="276" w:lineRule="auto"/>
        <w:ind w:left="360"/>
        <w:jc w:val="both"/>
        <w:rPr>
          <w:sz w:val="20"/>
          <w:szCs w:val="20"/>
        </w:rPr>
      </w:pPr>
      <w:r w:rsidRPr="0001291E">
        <w:rPr>
          <w:sz w:val="20"/>
          <w:szCs w:val="20"/>
        </w:rPr>
        <w:t>ESG but are unfamiliar with it.</w:t>
      </w:r>
    </w:p>
    <w:p w14:paraId="3D9B3003" w14:textId="77777777" w:rsidR="00310439" w:rsidRPr="0001291E" w:rsidRDefault="00310439" w:rsidP="00475FA2">
      <w:pPr>
        <w:widowControl/>
        <w:numPr>
          <w:ilvl w:val="1"/>
          <w:numId w:val="3"/>
        </w:numPr>
        <w:autoSpaceDE/>
        <w:autoSpaceDN/>
        <w:spacing w:before="120" w:line="276" w:lineRule="auto"/>
        <w:ind w:left="360"/>
        <w:jc w:val="both"/>
        <w:rPr>
          <w:sz w:val="20"/>
          <w:szCs w:val="20"/>
        </w:rPr>
      </w:pPr>
      <w:r w:rsidRPr="0001291E">
        <w:rPr>
          <w:sz w:val="20"/>
          <w:szCs w:val="20"/>
        </w:rPr>
        <w:t>Social media (45%) is the most common source of ESG-related information, followed by financial advisors (23%) and investment platforms (18%).</w:t>
      </w:r>
    </w:p>
    <w:p w14:paraId="058DBE22" w14:textId="77777777" w:rsidR="00310439" w:rsidRPr="0001291E" w:rsidRDefault="00310439" w:rsidP="00475FA2">
      <w:pPr>
        <w:widowControl/>
        <w:numPr>
          <w:ilvl w:val="0"/>
          <w:numId w:val="3"/>
        </w:numPr>
        <w:autoSpaceDE/>
        <w:autoSpaceDN/>
        <w:spacing w:before="120" w:line="276" w:lineRule="auto"/>
        <w:ind w:left="360"/>
        <w:jc w:val="both"/>
        <w:rPr>
          <w:sz w:val="20"/>
          <w:szCs w:val="20"/>
        </w:rPr>
      </w:pPr>
      <w:r w:rsidRPr="0001291E">
        <w:rPr>
          <w:b/>
          <w:bCs/>
          <w:sz w:val="20"/>
          <w:szCs w:val="20"/>
        </w:rPr>
        <w:t>Current ESG Investment Allocation:</w:t>
      </w:r>
    </w:p>
    <w:p w14:paraId="29C3C611" w14:textId="77777777" w:rsidR="00310439" w:rsidRPr="0001291E" w:rsidRDefault="00310439" w:rsidP="00475FA2">
      <w:pPr>
        <w:widowControl/>
        <w:numPr>
          <w:ilvl w:val="1"/>
          <w:numId w:val="3"/>
        </w:numPr>
        <w:autoSpaceDE/>
        <w:autoSpaceDN/>
        <w:spacing w:before="120" w:line="276" w:lineRule="auto"/>
        <w:ind w:left="360"/>
        <w:jc w:val="both"/>
        <w:rPr>
          <w:sz w:val="20"/>
          <w:szCs w:val="20"/>
        </w:rPr>
      </w:pPr>
      <w:r w:rsidRPr="0001291E">
        <w:rPr>
          <w:sz w:val="20"/>
          <w:szCs w:val="20"/>
        </w:rPr>
        <w:t>A large portion (43%) of respondents do not currently allocate any funds to ESG-compliant investments.</w:t>
      </w:r>
    </w:p>
    <w:p w14:paraId="569237FE" w14:textId="77777777" w:rsidR="00310439" w:rsidRPr="0001291E" w:rsidRDefault="00310439" w:rsidP="00475FA2">
      <w:pPr>
        <w:widowControl/>
        <w:numPr>
          <w:ilvl w:val="1"/>
          <w:numId w:val="3"/>
        </w:numPr>
        <w:autoSpaceDE/>
        <w:autoSpaceDN/>
        <w:spacing w:before="120" w:line="276" w:lineRule="auto"/>
        <w:ind w:left="360"/>
        <w:jc w:val="both"/>
        <w:rPr>
          <w:sz w:val="20"/>
          <w:szCs w:val="20"/>
        </w:rPr>
      </w:pPr>
      <w:r w:rsidRPr="0001291E">
        <w:rPr>
          <w:sz w:val="20"/>
          <w:szCs w:val="20"/>
        </w:rPr>
        <w:t>Only 4% of respondents have more than 50% of their portfolio allocated to ESG investments, indicating limited adoption despite growing awareness.</w:t>
      </w:r>
    </w:p>
    <w:p w14:paraId="427ADF7E" w14:textId="77777777" w:rsidR="00310439" w:rsidRPr="0001291E" w:rsidRDefault="00310439" w:rsidP="00475FA2">
      <w:pPr>
        <w:widowControl/>
        <w:numPr>
          <w:ilvl w:val="0"/>
          <w:numId w:val="3"/>
        </w:numPr>
        <w:autoSpaceDE/>
        <w:autoSpaceDN/>
        <w:spacing w:before="120" w:line="276" w:lineRule="auto"/>
        <w:ind w:left="360"/>
        <w:jc w:val="both"/>
        <w:rPr>
          <w:sz w:val="20"/>
          <w:szCs w:val="20"/>
        </w:rPr>
      </w:pPr>
      <w:r w:rsidRPr="0001291E">
        <w:rPr>
          <w:b/>
          <w:bCs/>
          <w:sz w:val="20"/>
          <w:szCs w:val="20"/>
        </w:rPr>
        <w:t>Factors Influencing ESG Investment Decisions:</w:t>
      </w:r>
    </w:p>
    <w:p w14:paraId="7EDCC4E7" w14:textId="77777777" w:rsidR="00310439" w:rsidRPr="0001291E" w:rsidRDefault="00310439" w:rsidP="00475FA2">
      <w:pPr>
        <w:widowControl/>
        <w:numPr>
          <w:ilvl w:val="1"/>
          <w:numId w:val="3"/>
        </w:numPr>
        <w:autoSpaceDE/>
        <w:autoSpaceDN/>
        <w:spacing w:before="120" w:line="276" w:lineRule="auto"/>
        <w:ind w:left="360"/>
        <w:jc w:val="both"/>
        <w:rPr>
          <w:sz w:val="20"/>
          <w:szCs w:val="20"/>
        </w:rPr>
      </w:pPr>
      <w:r w:rsidRPr="0001291E">
        <w:rPr>
          <w:sz w:val="20"/>
          <w:szCs w:val="20"/>
        </w:rPr>
        <w:t>Expected returns (39%) and risk management (29%) are the most significant factors driving ESG investment choices.</w:t>
      </w:r>
    </w:p>
    <w:p w14:paraId="767AD3D7" w14:textId="77777777" w:rsidR="00310439" w:rsidRPr="0001291E" w:rsidRDefault="00310439" w:rsidP="00475FA2">
      <w:pPr>
        <w:widowControl/>
        <w:numPr>
          <w:ilvl w:val="1"/>
          <w:numId w:val="3"/>
        </w:numPr>
        <w:autoSpaceDE/>
        <w:autoSpaceDN/>
        <w:spacing w:before="120" w:line="276" w:lineRule="auto"/>
        <w:ind w:left="360"/>
        <w:jc w:val="both"/>
        <w:rPr>
          <w:sz w:val="20"/>
          <w:szCs w:val="20"/>
        </w:rPr>
      </w:pPr>
      <w:r w:rsidRPr="0001291E">
        <w:rPr>
          <w:sz w:val="20"/>
          <w:szCs w:val="20"/>
        </w:rPr>
        <w:t>Alignment with personal values (19%) and regulatory incentives (5%) play a smaller role in influencing ESG investment decisions.</w:t>
      </w:r>
    </w:p>
    <w:p w14:paraId="611DDE1B" w14:textId="77777777" w:rsidR="00310439" w:rsidRPr="0001291E" w:rsidRDefault="00310439" w:rsidP="00475FA2">
      <w:pPr>
        <w:widowControl/>
        <w:numPr>
          <w:ilvl w:val="0"/>
          <w:numId w:val="3"/>
        </w:numPr>
        <w:autoSpaceDE/>
        <w:autoSpaceDN/>
        <w:spacing w:before="120" w:line="276" w:lineRule="auto"/>
        <w:ind w:left="360"/>
        <w:jc w:val="both"/>
        <w:rPr>
          <w:sz w:val="20"/>
          <w:szCs w:val="20"/>
        </w:rPr>
      </w:pPr>
      <w:r w:rsidRPr="0001291E">
        <w:rPr>
          <w:b/>
          <w:bCs/>
          <w:sz w:val="20"/>
          <w:szCs w:val="20"/>
        </w:rPr>
        <w:t>Barriers to ESG Investment:</w:t>
      </w:r>
    </w:p>
    <w:p w14:paraId="56E39150" w14:textId="5C03AE78" w:rsidR="00310439" w:rsidRPr="0001291E" w:rsidRDefault="00310439" w:rsidP="00475FA2">
      <w:pPr>
        <w:widowControl/>
        <w:numPr>
          <w:ilvl w:val="1"/>
          <w:numId w:val="3"/>
        </w:numPr>
        <w:autoSpaceDE/>
        <w:autoSpaceDN/>
        <w:spacing w:before="120" w:line="276" w:lineRule="auto"/>
        <w:ind w:left="360"/>
        <w:jc w:val="both"/>
        <w:rPr>
          <w:sz w:val="20"/>
          <w:szCs w:val="20"/>
        </w:rPr>
      </w:pPr>
      <w:r w:rsidRPr="0001291E">
        <w:rPr>
          <w:sz w:val="20"/>
          <w:szCs w:val="20"/>
        </w:rPr>
        <w:t xml:space="preserve">The biggest barrier to ESG investing is </w:t>
      </w:r>
      <w:r w:rsidRPr="0001291E">
        <w:rPr>
          <w:b/>
          <w:bCs/>
          <w:sz w:val="20"/>
          <w:szCs w:val="20"/>
        </w:rPr>
        <w:t>lack of awareness</w:t>
      </w:r>
      <w:r w:rsidRPr="0001291E">
        <w:rPr>
          <w:sz w:val="20"/>
          <w:szCs w:val="20"/>
        </w:rPr>
        <w:t xml:space="preserve"> (58.5%), </w:t>
      </w:r>
    </w:p>
    <w:p w14:paraId="51DEAD84" w14:textId="734A882B" w:rsidR="00310439" w:rsidRPr="0001291E" w:rsidRDefault="00310439" w:rsidP="00475FA2">
      <w:pPr>
        <w:widowControl/>
        <w:numPr>
          <w:ilvl w:val="1"/>
          <w:numId w:val="3"/>
        </w:numPr>
        <w:autoSpaceDE/>
        <w:autoSpaceDN/>
        <w:spacing w:before="120" w:line="276" w:lineRule="auto"/>
        <w:ind w:left="360"/>
        <w:jc w:val="both"/>
        <w:rPr>
          <w:sz w:val="20"/>
          <w:szCs w:val="20"/>
        </w:rPr>
      </w:pPr>
      <w:r w:rsidRPr="0001291E">
        <w:rPr>
          <w:sz w:val="20"/>
          <w:szCs w:val="20"/>
        </w:rPr>
        <w:t>indicating a strong need for educational initiatives.</w:t>
      </w:r>
    </w:p>
    <w:p w14:paraId="0DD6B6CB" w14:textId="2FB97854" w:rsidR="00310439" w:rsidRPr="0001291E" w:rsidRDefault="00310439" w:rsidP="00475FA2">
      <w:pPr>
        <w:widowControl/>
        <w:numPr>
          <w:ilvl w:val="1"/>
          <w:numId w:val="3"/>
        </w:numPr>
        <w:autoSpaceDE/>
        <w:autoSpaceDN/>
        <w:spacing w:before="120" w:line="276" w:lineRule="auto"/>
        <w:ind w:left="360"/>
        <w:jc w:val="both"/>
        <w:rPr>
          <w:sz w:val="20"/>
          <w:szCs w:val="20"/>
        </w:rPr>
      </w:pPr>
      <w:r w:rsidRPr="0001291E">
        <w:rPr>
          <w:sz w:val="20"/>
          <w:szCs w:val="20"/>
        </w:rPr>
        <w:t>Perceived lower returns (13%) and limited availability of ESG products (25.5%) also contribute to hesitation in adopting ESG investments.</w:t>
      </w:r>
    </w:p>
    <w:p w14:paraId="012F417F" w14:textId="77777777" w:rsidR="00310439" w:rsidRPr="0001291E" w:rsidRDefault="00310439" w:rsidP="00475FA2">
      <w:pPr>
        <w:widowControl/>
        <w:numPr>
          <w:ilvl w:val="0"/>
          <w:numId w:val="3"/>
        </w:numPr>
        <w:autoSpaceDE/>
        <w:autoSpaceDN/>
        <w:spacing w:before="120" w:line="276" w:lineRule="auto"/>
        <w:ind w:left="360"/>
        <w:jc w:val="both"/>
        <w:rPr>
          <w:sz w:val="20"/>
          <w:szCs w:val="20"/>
        </w:rPr>
      </w:pPr>
      <w:r w:rsidRPr="0001291E">
        <w:rPr>
          <w:b/>
          <w:bCs/>
          <w:sz w:val="20"/>
          <w:szCs w:val="20"/>
        </w:rPr>
        <w:t>Future Outlook on ESG Investing:</w:t>
      </w:r>
    </w:p>
    <w:p w14:paraId="5D7481E0" w14:textId="77777777" w:rsidR="00BF295B" w:rsidRPr="0001291E" w:rsidRDefault="00310439" w:rsidP="00475FA2">
      <w:pPr>
        <w:widowControl/>
        <w:numPr>
          <w:ilvl w:val="1"/>
          <w:numId w:val="3"/>
        </w:numPr>
        <w:autoSpaceDE/>
        <w:autoSpaceDN/>
        <w:spacing w:before="120" w:line="276" w:lineRule="auto"/>
        <w:ind w:left="360"/>
        <w:jc w:val="both"/>
        <w:rPr>
          <w:sz w:val="20"/>
          <w:szCs w:val="20"/>
        </w:rPr>
      </w:pPr>
      <w:r w:rsidRPr="0001291E">
        <w:rPr>
          <w:sz w:val="20"/>
          <w:szCs w:val="20"/>
        </w:rPr>
        <w:t>The majority of respondents (66%) believe that ESG investing will become mainstream in the next three years, while 33% remain neutral, and only 1% disagree.</w:t>
      </w:r>
    </w:p>
    <w:p w14:paraId="10475964" w14:textId="2BA7D97C" w:rsidR="00310439" w:rsidRPr="0001291E" w:rsidRDefault="00310439" w:rsidP="00475FA2">
      <w:pPr>
        <w:widowControl/>
        <w:numPr>
          <w:ilvl w:val="1"/>
          <w:numId w:val="3"/>
        </w:numPr>
        <w:autoSpaceDE/>
        <w:autoSpaceDN/>
        <w:spacing w:before="120" w:line="276" w:lineRule="auto"/>
        <w:ind w:left="360"/>
        <w:jc w:val="both"/>
        <w:rPr>
          <w:sz w:val="20"/>
          <w:szCs w:val="20"/>
        </w:rPr>
      </w:pPr>
      <w:r w:rsidRPr="0001291E">
        <w:rPr>
          <w:sz w:val="20"/>
          <w:szCs w:val="20"/>
        </w:rPr>
        <w:t xml:space="preserve">When asked what would encourage them to invest more in ESG products, respondents cited improved awareness and education (43%), higher </w:t>
      </w:r>
      <w:r w:rsidRPr="0001291E">
        <w:rPr>
          <w:sz w:val="20"/>
          <w:szCs w:val="20"/>
        </w:rPr>
        <w:lastRenderedPageBreak/>
        <w:t>returns (35%), wider product availability (15%), and better ESG ratings and standards (7%).</w:t>
      </w:r>
    </w:p>
    <w:p w14:paraId="21E6DCC6" w14:textId="4FE0C4CA" w:rsidR="00310439" w:rsidRPr="0001291E" w:rsidRDefault="00310439" w:rsidP="00475FA2">
      <w:pPr>
        <w:pStyle w:val="ListParagraph"/>
        <w:widowControl/>
        <w:numPr>
          <w:ilvl w:val="0"/>
          <w:numId w:val="3"/>
        </w:numPr>
        <w:autoSpaceDE/>
        <w:autoSpaceDN/>
        <w:spacing w:before="120" w:line="276" w:lineRule="auto"/>
        <w:ind w:left="360"/>
        <w:rPr>
          <w:sz w:val="20"/>
          <w:szCs w:val="20"/>
        </w:rPr>
      </w:pPr>
      <w:r w:rsidRPr="0001291E">
        <w:rPr>
          <w:b/>
          <w:bCs/>
          <w:sz w:val="20"/>
          <w:szCs w:val="20"/>
        </w:rPr>
        <w:t>Interest in ESG Education:</w:t>
      </w:r>
    </w:p>
    <w:p w14:paraId="30B06987" w14:textId="77777777" w:rsidR="00310439" w:rsidRPr="0001291E" w:rsidRDefault="00310439" w:rsidP="00475FA2">
      <w:pPr>
        <w:widowControl/>
        <w:numPr>
          <w:ilvl w:val="1"/>
          <w:numId w:val="3"/>
        </w:numPr>
        <w:autoSpaceDE/>
        <w:autoSpaceDN/>
        <w:spacing w:before="120" w:line="276" w:lineRule="auto"/>
        <w:ind w:left="360"/>
        <w:jc w:val="both"/>
        <w:rPr>
          <w:sz w:val="20"/>
          <w:szCs w:val="20"/>
        </w:rPr>
      </w:pPr>
      <w:r w:rsidRPr="0001291E">
        <w:rPr>
          <w:sz w:val="20"/>
          <w:szCs w:val="20"/>
        </w:rPr>
        <w:t xml:space="preserve">A significant </w:t>
      </w:r>
      <w:r w:rsidRPr="0001291E">
        <w:rPr>
          <w:b/>
          <w:bCs/>
          <w:sz w:val="20"/>
          <w:szCs w:val="20"/>
        </w:rPr>
        <w:t>82%</w:t>
      </w:r>
      <w:r w:rsidRPr="0001291E">
        <w:rPr>
          <w:sz w:val="20"/>
          <w:szCs w:val="20"/>
        </w:rPr>
        <w:t xml:space="preserve"> of respondents expressed a willingness to learn more about ESG investing, reinforcing the need for more accessible ESG-related financial education and awareness programs.</w:t>
      </w:r>
    </w:p>
    <w:p w14:paraId="225961DB" w14:textId="77777777" w:rsidR="00A42A41" w:rsidRPr="0001291E" w:rsidRDefault="00A42A41" w:rsidP="00475FA2">
      <w:pPr>
        <w:pStyle w:val="BodyText"/>
        <w:spacing w:before="120" w:line="276" w:lineRule="auto"/>
        <w:rPr>
          <w:b/>
          <w:bCs/>
          <w:sz w:val="20"/>
          <w:szCs w:val="20"/>
          <w:lang w:val="en-IN"/>
        </w:rPr>
      </w:pPr>
      <w:r w:rsidRPr="0001291E">
        <w:rPr>
          <w:b/>
          <w:bCs/>
          <w:sz w:val="20"/>
          <w:szCs w:val="20"/>
          <w:lang w:val="en-IN"/>
        </w:rPr>
        <w:t>Conclusion</w:t>
      </w:r>
    </w:p>
    <w:p w14:paraId="5A0BE09B" w14:textId="77777777" w:rsidR="00A42A41" w:rsidRPr="0001291E" w:rsidRDefault="00A42A41" w:rsidP="00475FA2">
      <w:pPr>
        <w:spacing w:before="120" w:line="276" w:lineRule="auto"/>
        <w:jc w:val="both"/>
        <w:rPr>
          <w:sz w:val="20"/>
          <w:szCs w:val="20"/>
          <w:lang w:val="en-IN"/>
        </w:rPr>
      </w:pPr>
      <w:r w:rsidRPr="0001291E">
        <w:rPr>
          <w:sz w:val="20"/>
          <w:szCs w:val="20"/>
          <w:lang w:val="en-IN"/>
        </w:rPr>
        <w:t>This research paper explored the impact of Environmental, Social, and Governance (ESG) awareness on personal investment decisions, aiming to understand both the behavioral patterns and the key factors influencing ESG investment choices. Through hypothesis testing and analysis of respondent data, significant relationships were identified, reinforcing the importance of awareness and influencing factors in ESG investment adoption.</w:t>
      </w:r>
    </w:p>
    <w:p w14:paraId="14B4702E" w14:textId="77777777" w:rsidR="00A42A41" w:rsidRPr="0001291E" w:rsidRDefault="00A42A41" w:rsidP="00475FA2">
      <w:pPr>
        <w:spacing w:before="120" w:line="276" w:lineRule="auto"/>
        <w:jc w:val="both"/>
        <w:rPr>
          <w:sz w:val="20"/>
          <w:szCs w:val="20"/>
          <w:lang w:val="en-IN"/>
        </w:rPr>
      </w:pPr>
      <w:r w:rsidRPr="0001291E">
        <w:rPr>
          <w:sz w:val="20"/>
          <w:szCs w:val="20"/>
          <w:lang w:val="en-IN"/>
        </w:rPr>
        <w:t>The results confirm that awareness of ESG investing significantly influences the likelihood of individuals allocating funds toward ESG-compliant products. As demonstrated by the Chi-Square test results (p &lt; 0.001), individuals with higher ESG awareness are more inclined to make sustainable investment decisions. Additionally, various factors—such as expected returns, risk management, and alignment with personal values—also show a statistically significant relationship with ESG investing behavior (p = 0.048), suggesting that these dimensions play a crucial role in shaping investor choices.</w:t>
      </w:r>
    </w:p>
    <w:p w14:paraId="69404E54" w14:textId="77777777" w:rsidR="00A42A41" w:rsidRPr="0001291E" w:rsidRDefault="00A42A41" w:rsidP="00475FA2">
      <w:pPr>
        <w:spacing w:before="120" w:line="276" w:lineRule="auto"/>
        <w:jc w:val="both"/>
        <w:rPr>
          <w:sz w:val="20"/>
          <w:szCs w:val="20"/>
          <w:lang w:val="en-IN"/>
        </w:rPr>
      </w:pPr>
      <w:r w:rsidRPr="0001291E">
        <w:rPr>
          <w:sz w:val="20"/>
          <w:szCs w:val="20"/>
          <w:lang w:val="en-IN"/>
        </w:rPr>
        <w:t>Despite these positive associations, ESG investing still faces considerable challenges. Awareness remains limited, with many respondents unfamiliar with ESG concepts despite recognizing its future potential. The study highlights that low awareness, perceived lower returns, and limited ESG product availability are major barriers that must be addressed.</w:t>
      </w:r>
    </w:p>
    <w:p w14:paraId="06B050AF" w14:textId="77777777" w:rsidR="00A42A41" w:rsidRPr="0001291E" w:rsidRDefault="00A42A41" w:rsidP="00475FA2">
      <w:pPr>
        <w:spacing w:before="120" w:line="276" w:lineRule="auto"/>
        <w:jc w:val="both"/>
        <w:rPr>
          <w:sz w:val="20"/>
          <w:szCs w:val="20"/>
          <w:lang w:val="en-IN"/>
        </w:rPr>
      </w:pPr>
      <w:r w:rsidRPr="0001291E">
        <w:rPr>
          <w:sz w:val="20"/>
          <w:szCs w:val="20"/>
          <w:lang w:val="en-IN"/>
        </w:rPr>
        <w:t xml:space="preserve">However, the findings also reveal a promising outlook: the majority of investors are open to learning about ESG investing, and many believe it will become mainstream </w:t>
      </w:r>
    </w:p>
    <w:p w14:paraId="6309E081" w14:textId="3463DEC5" w:rsidR="00A42A41" w:rsidRPr="0001291E" w:rsidRDefault="00A42A41" w:rsidP="00475FA2">
      <w:pPr>
        <w:spacing w:before="120" w:line="276" w:lineRule="auto"/>
        <w:jc w:val="both"/>
        <w:rPr>
          <w:sz w:val="20"/>
          <w:szCs w:val="20"/>
          <w:lang w:val="en-IN"/>
        </w:rPr>
      </w:pPr>
      <w:r w:rsidRPr="0001291E">
        <w:rPr>
          <w:sz w:val="20"/>
          <w:szCs w:val="20"/>
          <w:lang w:val="en-IN"/>
        </w:rPr>
        <w:t>in the near future. Educational initiatives, better product access, and increased transparency in ESG ratings could drive greater adoption.</w:t>
      </w:r>
    </w:p>
    <w:p w14:paraId="0CF69599" w14:textId="77777777" w:rsidR="00A42A41" w:rsidRPr="0001291E" w:rsidRDefault="00A42A41" w:rsidP="00475FA2">
      <w:pPr>
        <w:spacing w:before="120" w:line="276" w:lineRule="auto"/>
        <w:jc w:val="both"/>
        <w:rPr>
          <w:sz w:val="20"/>
          <w:szCs w:val="20"/>
          <w:lang w:val="en-IN"/>
        </w:rPr>
      </w:pPr>
      <w:r w:rsidRPr="0001291E">
        <w:rPr>
          <w:sz w:val="20"/>
          <w:szCs w:val="20"/>
          <w:lang w:val="en-IN"/>
        </w:rPr>
        <w:t>In conclusion, raising awareness and enhancing investor education are pivotal to fostering a more sustainable investment ecosystem. By addressing current barriers and emphasizing the role of ESG in financial performance and societal impact, stakeholders—ranging from policymakers to financial institutions—can promote more responsible and informed investment behaviors in the years ahead.</w:t>
      </w:r>
    </w:p>
    <w:p w14:paraId="0895570B" w14:textId="77777777" w:rsidR="00A42A41" w:rsidRPr="0001291E" w:rsidRDefault="00A42A41" w:rsidP="00475FA2">
      <w:pPr>
        <w:pStyle w:val="BodyText"/>
        <w:spacing w:before="120" w:line="276" w:lineRule="auto"/>
        <w:rPr>
          <w:b/>
          <w:bCs/>
          <w:sz w:val="20"/>
          <w:szCs w:val="20"/>
          <w:lang w:val="en-IN"/>
        </w:rPr>
      </w:pPr>
      <w:r w:rsidRPr="0001291E">
        <w:rPr>
          <w:b/>
          <w:bCs/>
          <w:sz w:val="20"/>
          <w:szCs w:val="20"/>
          <w:lang w:val="en-IN"/>
        </w:rPr>
        <w:t>References:</w:t>
      </w:r>
    </w:p>
    <w:p w14:paraId="6438FD29" w14:textId="4AA197CE"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Allen, F., Demirgüç-Kunt, A., Klapper, L., &amp; Martinez Peria, M. S. (2016). The foundations of financial inclusion: Understanding ownership and use of formal accounts. Journal of Financial Intermediation, 27, 1–30.</w:t>
      </w:r>
    </w:p>
    <w:p w14:paraId="795508A0" w14:textId="2E6B929E"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Kapoor, A. (2020). The role of FinTech in financial inclusion: Insights from India. Economic and Political Weekly, 55(36), 45–53.</w:t>
      </w:r>
    </w:p>
    <w:p w14:paraId="4E38D032" w14:textId="4E057FC8"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Kumar, K., &amp; Tarazi, M. (2019). Branchless banking and financial inclusion: Insights from India. World Bank Policy Research Working Paper Series.</w:t>
      </w:r>
    </w:p>
    <w:p w14:paraId="7497E18E" w14:textId="01C81A14"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Suri, T., &amp; Jack, W. (2016). The long-run poverty and gender impacts of mobile money. Science, 354(6317), 1288–1292.</w:t>
      </w:r>
    </w:p>
    <w:p w14:paraId="01B50B29" w14:textId="132BF99B"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CGAP. (2021). The Role of Digital Financial Services in Financial Inclusion. Consultative Group to Assist the Poor.</w:t>
      </w:r>
    </w:p>
    <w:p w14:paraId="7A822117" w14:textId="3A2B0A0E"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GSMA. (2020). State of the Industry Report on Mobile Money. GSM </w:t>
      </w:r>
    </w:p>
    <w:p w14:paraId="31C3C53F" w14:textId="3995E4B6"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Association.</w:t>
      </w:r>
    </w:p>
    <w:p w14:paraId="73959A2E" w14:textId="2D29321F"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OECD. (2021). Digital Financial Inclusion: Policy and Regulatory Approaches. Organisation for Economic Co-operation and Development.</w:t>
      </w:r>
    </w:p>
    <w:p w14:paraId="4D48DBC8" w14:textId="2C7CC162"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Reserve Bank of India. (2022). Financial Inclusion in the Digital Age: Policy Measures and Implications. RBI Bulletin.</w:t>
      </w:r>
    </w:p>
    <w:p w14:paraId="7F247845" w14:textId="7DA2EA70"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lastRenderedPageBreak/>
        <w:t>World Economic Forum. (2022). The Future of Financial Inclusion in a Digital Economy. WEF White Paper Series.</w:t>
      </w:r>
    </w:p>
    <w:p w14:paraId="3526EF7F" w14:textId="058951AE"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UNDP. (2021). Leveraging Digital Finance for Sustainable Development. United Nations Development Programme.</w:t>
      </w:r>
    </w:p>
    <w:p w14:paraId="31BE9B80" w14:textId="469AE627"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(2020). Financial statement analysis of Janaseva Bank. Zenodo. </w:t>
      </w:r>
      <w:hyperlink r:id="rId31" w:history="1">
        <w:r w:rsidR="009E18B1" w:rsidRPr="00475FA2">
          <w:rPr>
            <w:rStyle w:val="Hyperlink"/>
            <w:sz w:val="20"/>
            <w:szCs w:val="20"/>
            <w:lang w:val="en-IN"/>
          </w:rPr>
          <w:t>https://doi.org/10.5281/zenodo.13675324</w:t>
        </w:r>
      </w:hyperlink>
      <w:r w:rsidR="009E18B1" w:rsidRPr="00475FA2">
        <w:rPr>
          <w:sz w:val="20"/>
          <w:szCs w:val="20"/>
          <w:lang w:val="en-IN"/>
        </w:rPr>
        <w:t xml:space="preserve"> </w:t>
      </w:r>
      <w:r w:rsidRPr="00475FA2">
        <w:rPr>
          <w:sz w:val="20"/>
          <w:szCs w:val="20"/>
          <w:lang w:val="en-IN"/>
        </w:rPr>
        <w:t xml:space="preserve"> </w:t>
      </w:r>
    </w:p>
    <w:p w14:paraId="78605876" w14:textId="441108BC"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(2020). Study of performance appraisal of employee. Zenodo. </w:t>
      </w:r>
      <w:hyperlink r:id="rId32" w:history="1">
        <w:r w:rsidR="009E18B1" w:rsidRPr="00475FA2">
          <w:rPr>
            <w:rStyle w:val="Hyperlink"/>
            <w:sz w:val="20"/>
            <w:szCs w:val="20"/>
            <w:lang w:val="en-IN"/>
          </w:rPr>
          <w:t>https://doi.org/10.5281/zenodo.13681608</w:t>
        </w:r>
      </w:hyperlink>
      <w:r w:rsidR="009E18B1" w:rsidRPr="00475FA2">
        <w:rPr>
          <w:sz w:val="20"/>
          <w:szCs w:val="20"/>
          <w:lang w:val="en-IN"/>
        </w:rPr>
        <w:t xml:space="preserve"> </w:t>
      </w:r>
      <w:r w:rsidRPr="00475FA2">
        <w:rPr>
          <w:sz w:val="20"/>
          <w:szCs w:val="20"/>
          <w:lang w:val="en-IN"/>
        </w:rPr>
        <w:t xml:space="preserve"> </w:t>
      </w:r>
      <w:r w:rsidR="009E18B1" w:rsidRPr="00475FA2">
        <w:rPr>
          <w:sz w:val="20"/>
          <w:szCs w:val="20"/>
          <w:lang w:val="en-IN"/>
        </w:rPr>
        <w:t xml:space="preserve"> </w:t>
      </w:r>
    </w:p>
    <w:p w14:paraId="232E9457" w14:textId="09F3F186"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(2020). A study of budgetary control. Zenodo. </w:t>
      </w:r>
      <w:hyperlink r:id="rId33" w:history="1">
        <w:r w:rsidR="009E18B1" w:rsidRPr="00475FA2">
          <w:rPr>
            <w:rStyle w:val="Hyperlink"/>
            <w:sz w:val="20"/>
            <w:szCs w:val="20"/>
            <w:lang w:val="en-IN"/>
          </w:rPr>
          <w:t>https://doi.org/10.5281/zenodo.13682208</w:t>
        </w:r>
      </w:hyperlink>
      <w:r w:rsidR="009E18B1" w:rsidRPr="00475FA2">
        <w:rPr>
          <w:sz w:val="20"/>
          <w:szCs w:val="20"/>
          <w:lang w:val="en-IN"/>
        </w:rPr>
        <w:t xml:space="preserve"> </w:t>
      </w:r>
      <w:r w:rsidRPr="00475FA2">
        <w:rPr>
          <w:sz w:val="20"/>
          <w:szCs w:val="20"/>
          <w:lang w:val="en-IN"/>
        </w:rPr>
        <w:t xml:space="preserve"> </w:t>
      </w:r>
    </w:p>
    <w:p w14:paraId="4CFD8F9E" w14:textId="46AF1912"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(2020). A study of capital budgeting of Fountainhead Info Solutions Pvt. Ltd. Zenodo. </w:t>
      </w:r>
      <w:hyperlink r:id="rId34" w:history="1">
        <w:r w:rsidR="009E18B1" w:rsidRPr="00475FA2">
          <w:rPr>
            <w:rStyle w:val="Hyperlink"/>
            <w:sz w:val="20"/>
            <w:szCs w:val="20"/>
            <w:lang w:val="en-IN"/>
          </w:rPr>
          <w:t>https://doi.org/10.5281/zenodo.13682832</w:t>
        </w:r>
      </w:hyperlink>
      <w:r w:rsidR="009E18B1" w:rsidRPr="00475FA2">
        <w:rPr>
          <w:sz w:val="20"/>
          <w:szCs w:val="20"/>
          <w:lang w:val="en-IN"/>
        </w:rPr>
        <w:t xml:space="preserve"> </w:t>
      </w:r>
      <w:r w:rsidRPr="00475FA2">
        <w:rPr>
          <w:sz w:val="20"/>
          <w:szCs w:val="20"/>
          <w:lang w:val="en-IN"/>
        </w:rPr>
        <w:t xml:space="preserve"> </w:t>
      </w:r>
    </w:p>
    <w:p w14:paraId="367B7B36" w14:textId="73B44BDC"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(2020). Analyzing consumer buying behaviour and preferences in the ice cream industry: Meridian Ice Cream. Zenodo. </w:t>
      </w:r>
      <w:hyperlink r:id="rId35" w:history="1">
        <w:r w:rsidR="009E18B1" w:rsidRPr="00475FA2">
          <w:rPr>
            <w:rStyle w:val="Hyperlink"/>
            <w:sz w:val="20"/>
            <w:szCs w:val="20"/>
            <w:lang w:val="en-IN"/>
          </w:rPr>
          <w:t>https://doi.org/10.5281/zenodo.13683490</w:t>
        </w:r>
      </w:hyperlink>
      <w:r w:rsidR="009E18B1" w:rsidRPr="00475FA2">
        <w:rPr>
          <w:sz w:val="20"/>
          <w:szCs w:val="20"/>
          <w:lang w:val="en-IN"/>
        </w:rPr>
        <w:t xml:space="preserve"> </w:t>
      </w:r>
      <w:r w:rsidRPr="00475FA2">
        <w:rPr>
          <w:sz w:val="20"/>
          <w:szCs w:val="20"/>
          <w:lang w:val="en-IN"/>
        </w:rPr>
        <w:t xml:space="preserve"> </w:t>
      </w:r>
    </w:p>
    <w:p w14:paraId="3A32A627" w14:textId="43ECDA1B"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(2020). Analyzing customer satisfaction and loyalty in the online eyewear retail industry: A focus on Lenskart. Zenodo. </w:t>
      </w:r>
      <w:hyperlink r:id="rId36" w:history="1">
        <w:r w:rsidR="009E18B1" w:rsidRPr="00475FA2">
          <w:rPr>
            <w:rStyle w:val="Hyperlink"/>
            <w:sz w:val="20"/>
            <w:szCs w:val="20"/>
            <w:lang w:val="en-IN"/>
          </w:rPr>
          <w:t>https://doi.org/10.5281/zenodo.13683509</w:t>
        </w:r>
      </w:hyperlink>
      <w:r w:rsidR="009E18B1" w:rsidRPr="00475FA2">
        <w:rPr>
          <w:sz w:val="20"/>
          <w:szCs w:val="20"/>
          <w:lang w:val="en-IN"/>
        </w:rPr>
        <w:t xml:space="preserve"> </w:t>
      </w:r>
      <w:r w:rsidRPr="00475FA2">
        <w:rPr>
          <w:sz w:val="20"/>
          <w:szCs w:val="20"/>
          <w:lang w:val="en-IN"/>
        </w:rPr>
        <w:t xml:space="preserve"> </w:t>
      </w:r>
    </w:p>
    <w:p w14:paraId="441CF059" w14:textId="4A293B8C"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Analyzing consumer preferences and market trends in the two-wheeler industry. (2020). XXVII(5). ISSN: 0975-802X</w:t>
      </w:r>
      <w:r w:rsidR="009E18B1" w:rsidRPr="00475FA2">
        <w:rPr>
          <w:sz w:val="20"/>
          <w:szCs w:val="20"/>
          <w:lang w:val="en-IN"/>
        </w:rPr>
        <w:t xml:space="preserve"> </w:t>
      </w:r>
    </w:p>
    <w:p w14:paraId="253D596E" w14:textId="2F2E2FCD"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Analyzing customer satisfaction and loyalty in the context of Wow Momo: A study of fast food preferences and experiences. (2020). XXVII(5). ISSN: 0975-802X. </w:t>
      </w:r>
    </w:p>
    <w:p w14:paraId="3D9C954C" w14:textId="5C24E9EA"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(2020). Consumer preferences and market dynamics in the snack food industry: A study of Haldiram products. Zenodo. </w:t>
      </w:r>
      <w:hyperlink r:id="rId37" w:history="1">
        <w:r w:rsidR="009E18B1" w:rsidRPr="00475FA2">
          <w:rPr>
            <w:rStyle w:val="Hyperlink"/>
            <w:sz w:val="20"/>
            <w:szCs w:val="20"/>
            <w:lang w:val="en-IN"/>
          </w:rPr>
          <w:t>https://doi.org/10.5281/zenodo.13683657</w:t>
        </w:r>
      </w:hyperlink>
      <w:r w:rsidR="009E18B1" w:rsidRPr="00475FA2">
        <w:rPr>
          <w:sz w:val="20"/>
          <w:szCs w:val="20"/>
          <w:lang w:val="en-IN"/>
        </w:rPr>
        <w:t xml:space="preserve"> </w:t>
      </w:r>
      <w:r w:rsidRPr="00475FA2">
        <w:rPr>
          <w:sz w:val="20"/>
          <w:szCs w:val="20"/>
          <w:lang w:val="en-IN"/>
        </w:rPr>
        <w:t xml:space="preserve"> </w:t>
      </w:r>
    </w:p>
    <w:p w14:paraId="3B185143" w14:textId="256C87FB"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(2020). Performance evaluation with the help of ratio analysis. Zenodo. </w:t>
      </w:r>
      <w:hyperlink r:id="rId38" w:history="1">
        <w:r w:rsidR="009E18B1" w:rsidRPr="00475FA2">
          <w:rPr>
            <w:rStyle w:val="Hyperlink"/>
            <w:sz w:val="20"/>
            <w:szCs w:val="20"/>
            <w:lang w:val="en-IN"/>
          </w:rPr>
          <w:t>https://doi.org/10.5281/zenodo.13683692</w:t>
        </w:r>
      </w:hyperlink>
      <w:r w:rsidR="009E18B1" w:rsidRPr="00475FA2">
        <w:rPr>
          <w:sz w:val="20"/>
          <w:szCs w:val="20"/>
          <w:lang w:val="en-IN"/>
        </w:rPr>
        <w:t xml:space="preserve"> </w:t>
      </w:r>
      <w:r w:rsidRPr="00475FA2">
        <w:rPr>
          <w:sz w:val="20"/>
          <w:szCs w:val="20"/>
          <w:lang w:val="en-IN"/>
        </w:rPr>
        <w:t xml:space="preserve"> </w:t>
      </w:r>
    </w:p>
    <w:p w14:paraId="2EF24A36" w14:textId="02EC39E4"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Kaakandikar, D. R. (2020). Impact of artificial intelligence on our society. Zenodo.</w:t>
      </w:r>
      <w:r w:rsidR="009E18B1" w:rsidRPr="00475FA2">
        <w:rPr>
          <w:sz w:val="20"/>
          <w:szCs w:val="20"/>
          <w:lang w:val="en-IN"/>
        </w:rPr>
        <w:t xml:space="preserve"> </w:t>
      </w:r>
      <w:r w:rsidRPr="00475FA2">
        <w:rPr>
          <w:sz w:val="20"/>
          <w:szCs w:val="20"/>
          <w:lang w:val="en-IN"/>
        </w:rPr>
        <w:t xml:space="preserve"> </w:t>
      </w:r>
      <w:hyperlink r:id="rId39" w:history="1">
        <w:r w:rsidR="009E18B1" w:rsidRPr="00475FA2">
          <w:rPr>
            <w:rStyle w:val="Hyperlink"/>
            <w:sz w:val="20"/>
            <w:szCs w:val="20"/>
            <w:lang w:val="en-IN"/>
          </w:rPr>
          <w:t>https://doi.org/10.5281/zenodo.13683725</w:t>
        </w:r>
      </w:hyperlink>
      <w:r w:rsidR="009E18B1" w:rsidRPr="00475FA2">
        <w:rPr>
          <w:sz w:val="20"/>
          <w:szCs w:val="20"/>
          <w:lang w:val="en-IN"/>
        </w:rPr>
        <w:t xml:space="preserve"> </w:t>
      </w:r>
      <w:r w:rsidRPr="00475FA2">
        <w:rPr>
          <w:sz w:val="20"/>
          <w:szCs w:val="20"/>
          <w:lang w:val="en-IN"/>
        </w:rPr>
        <w:t xml:space="preserve"> </w:t>
      </w:r>
    </w:p>
    <w:p w14:paraId="2015CF6A" w14:textId="58DB8EF8"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(2024). Non-performing assets: A comparative study of SBI &amp; HDFC Bank. Zenodo. </w:t>
      </w:r>
      <w:hyperlink r:id="rId40" w:history="1">
        <w:r w:rsidR="009E18B1" w:rsidRPr="00475FA2">
          <w:rPr>
            <w:rStyle w:val="Hyperlink"/>
            <w:sz w:val="20"/>
            <w:szCs w:val="20"/>
            <w:lang w:val="en-IN"/>
          </w:rPr>
          <w:t>https://doi.org/10.5281/zenodo.13683746</w:t>
        </w:r>
      </w:hyperlink>
      <w:r w:rsidR="009E18B1" w:rsidRPr="00475FA2">
        <w:rPr>
          <w:sz w:val="20"/>
          <w:szCs w:val="20"/>
          <w:lang w:val="en-IN"/>
        </w:rPr>
        <w:t xml:space="preserve"> </w:t>
      </w:r>
      <w:r w:rsidRPr="00475FA2">
        <w:rPr>
          <w:sz w:val="20"/>
          <w:szCs w:val="20"/>
          <w:lang w:val="en-IN"/>
        </w:rPr>
        <w:t xml:space="preserve"> </w:t>
      </w:r>
    </w:p>
    <w:p w14:paraId="7FC2C828" w14:textId="2591A123"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(2020). Role of insurance in personal financial planning. Zenodo. </w:t>
      </w:r>
      <w:hyperlink r:id="rId41" w:history="1">
        <w:r w:rsidR="009E18B1" w:rsidRPr="00475FA2">
          <w:rPr>
            <w:rStyle w:val="Hyperlink"/>
            <w:sz w:val="20"/>
            <w:szCs w:val="20"/>
            <w:lang w:val="en-IN"/>
          </w:rPr>
          <w:t>https://doi.org/10.5281/zenodo.13683760</w:t>
        </w:r>
      </w:hyperlink>
      <w:r w:rsidR="009E18B1" w:rsidRPr="00475FA2">
        <w:rPr>
          <w:sz w:val="20"/>
          <w:szCs w:val="20"/>
          <w:lang w:val="en-IN"/>
        </w:rPr>
        <w:t xml:space="preserve"> </w:t>
      </w:r>
      <w:r w:rsidRPr="00475FA2">
        <w:rPr>
          <w:sz w:val="20"/>
          <w:szCs w:val="20"/>
          <w:lang w:val="en-IN"/>
        </w:rPr>
        <w:t xml:space="preserve"> </w:t>
      </w:r>
    </w:p>
    <w:p w14:paraId="6E859EA4" w14:textId="1EAC605B"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(2020). Study of product branding with digital marketing. Zenodo. </w:t>
      </w:r>
      <w:hyperlink r:id="rId42" w:history="1">
        <w:r w:rsidR="009E18B1" w:rsidRPr="00475FA2">
          <w:rPr>
            <w:rStyle w:val="Hyperlink"/>
            <w:sz w:val="20"/>
            <w:szCs w:val="20"/>
            <w:lang w:val="en-IN"/>
          </w:rPr>
          <w:t>https://doi.org/10.5281/zenodo.13683782</w:t>
        </w:r>
      </w:hyperlink>
      <w:r w:rsidR="009E18B1" w:rsidRPr="00475FA2">
        <w:rPr>
          <w:sz w:val="20"/>
          <w:szCs w:val="20"/>
          <w:lang w:val="en-IN"/>
        </w:rPr>
        <w:t xml:space="preserve"> </w:t>
      </w:r>
      <w:r w:rsidRPr="00475FA2">
        <w:rPr>
          <w:sz w:val="20"/>
          <w:szCs w:val="20"/>
          <w:lang w:val="en-IN"/>
        </w:rPr>
        <w:t xml:space="preserve"> </w:t>
      </w:r>
    </w:p>
    <w:p w14:paraId="1723DA03" w14:textId="7CA1C01D"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(2020). The study on investor's attitude towards mutual fund. Zenodo. </w:t>
      </w:r>
      <w:hyperlink r:id="rId43" w:history="1">
        <w:r w:rsidR="009E18B1" w:rsidRPr="00475FA2">
          <w:rPr>
            <w:rStyle w:val="Hyperlink"/>
            <w:sz w:val="20"/>
            <w:szCs w:val="20"/>
            <w:lang w:val="en-IN"/>
          </w:rPr>
          <w:t>https://doi.org/10.5281/zenodo.13683791</w:t>
        </w:r>
      </w:hyperlink>
      <w:r w:rsidR="009E18B1" w:rsidRPr="00475FA2">
        <w:rPr>
          <w:sz w:val="20"/>
          <w:szCs w:val="20"/>
          <w:lang w:val="en-IN"/>
        </w:rPr>
        <w:t xml:space="preserve"> </w:t>
      </w:r>
      <w:r w:rsidRPr="00475FA2">
        <w:rPr>
          <w:sz w:val="20"/>
          <w:szCs w:val="20"/>
          <w:lang w:val="en-IN"/>
        </w:rPr>
        <w:t xml:space="preserve"> </w:t>
      </w:r>
    </w:p>
    <w:p w14:paraId="556F763C" w14:textId="50491301"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(2020). To study the involvement of MNCs in international business. Zenodo. </w:t>
      </w:r>
      <w:hyperlink r:id="rId44" w:history="1">
        <w:r w:rsidR="009E18B1" w:rsidRPr="00475FA2">
          <w:rPr>
            <w:rStyle w:val="Hyperlink"/>
            <w:sz w:val="20"/>
            <w:szCs w:val="20"/>
            <w:lang w:val="en-IN"/>
          </w:rPr>
          <w:t>https://doi.org/10.5281/zenodo.13683814</w:t>
        </w:r>
      </w:hyperlink>
      <w:r w:rsidR="009E18B1" w:rsidRPr="00475FA2">
        <w:rPr>
          <w:sz w:val="20"/>
          <w:szCs w:val="20"/>
          <w:lang w:val="en-IN"/>
        </w:rPr>
        <w:t xml:space="preserve"> </w:t>
      </w:r>
      <w:r w:rsidRPr="00475FA2">
        <w:rPr>
          <w:sz w:val="20"/>
          <w:szCs w:val="20"/>
          <w:lang w:val="en-IN"/>
        </w:rPr>
        <w:t xml:space="preserve"> </w:t>
      </w:r>
    </w:p>
    <w:p w14:paraId="3017D123" w14:textId="6532EE36"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(2020). Working capital management at Suzlon Energy Ltd. Pune. Zenodo. </w:t>
      </w:r>
      <w:hyperlink r:id="rId45" w:history="1">
        <w:r w:rsidR="009E18B1" w:rsidRPr="00475FA2">
          <w:rPr>
            <w:rStyle w:val="Hyperlink"/>
            <w:sz w:val="20"/>
            <w:szCs w:val="20"/>
            <w:lang w:val="en-IN"/>
          </w:rPr>
          <w:t>https://doi.org/10.5281/zenodo.13683847</w:t>
        </w:r>
      </w:hyperlink>
      <w:r w:rsidR="009E18B1" w:rsidRPr="00475FA2">
        <w:rPr>
          <w:sz w:val="20"/>
          <w:szCs w:val="20"/>
          <w:lang w:val="en-IN"/>
        </w:rPr>
        <w:t xml:space="preserve"> </w:t>
      </w:r>
      <w:r w:rsidRPr="00475FA2">
        <w:rPr>
          <w:sz w:val="20"/>
          <w:szCs w:val="20"/>
          <w:lang w:val="en-IN"/>
        </w:rPr>
        <w:t xml:space="preserve"> </w:t>
      </w:r>
    </w:p>
    <w:p w14:paraId="1CBEF06D" w14:textId="2ADCAAD2"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(2020). A comprehensive analysis of Goods and Services Tax (GST) in India. Zenodo. </w:t>
      </w:r>
      <w:hyperlink r:id="rId46" w:history="1">
        <w:r w:rsidR="009E18B1" w:rsidRPr="00475FA2">
          <w:rPr>
            <w:rStyle w:val="Hyperlink"/>
            <w:sz w:val="20"/>
            <w:szCs w:val="20"/>
            <w:lang w:val="en-IN"/>
          </w:rPr>
          <w:t>https://doi.org/10.5281/zenodo.13683861</w:t>
        </w:r>
      </w:hyperlink>
      <w:r w:rsidR="009E18B1" w:rsidRPr="00475FA2">
        <w:rPr>
          <w:sz w:val="20"/>
          <w:szCs w:val="20"/>
          <w:lang w:val="en-IN"/>
        </w:rPr>
        <w:t xml:space="preserve"> </w:t>
      </w:r>
      <w:r w:rsidRPr="00475FA2">
        <w:rPr>
          <w:sz w:val="20"/>
          <w:szCs w:val="20"/>
          <w:lang w:val="en-IN"/>
        </w:rPr>
        <w:t xml:space="preserve"> </w:t>
      </w:r>
    </w:p>
    <w:p w14:paraId="641A4EBA" w14:textId="539BB6CA"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(2020). A project report on activity-based costing as a measure of improving the cost structure in Jay Laxmi Food Processing Pvt. Ltd. Zenodo. </w:t>
      </w:r>
      <w:hyperlink r:id="rId47" w:history="1">
        <w:r w:rsidR="009E18B1" w:rsidRPr="00475FA2">
          <w:rPr>
            <w:rStyle w:val="Hyperlink"/>
            <w:sz w:val="20"/>
            <w:szCs w:val="20"/>
            <w:lang w:val="en-IN"/>
          </w:rPr>
          <w:t>https://doi.org/10.5281/zenodo.13683872</w:t>
        </w:r>
      </w:hyperlink>
      <w:r w:rsidR="009E18B1" w:rsidRPr="00475FA2">
        <w:rPr>
          <w:sz w:val="20"/>
          <w:szCs w:val="20"/>
          <w:lang w:val="en-IN"/>
        </w:rPr>
        <w:t xml:space="preserve"> </w:t>
      </w:r>
      <w:r w:rsidRPr="00475FA2">
        <w:rPr>
          <w:sz w:val="20"/>
          <w:szCs w:val="20"/>
          <w:lang w:val="en-IN"/>
        </w:rPr>
        <w:t xml:space="preserve"> </w:t>
      </w:r>
    </w:p>
    <w:p w14:paraId="604B1A33" w14:textId="2E038607"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(2020). A study of instrument used in trade finance at Suzlon Energy Ltd. Pune. Zenodo. </w:t>
      </w:r>
      <w:hyperlink r:id="rId48" w:history="1">
        <w:r w:rsidR="009E18B1" w:rsidRPr="00475FA2">
          <w:rPr>
            <w:rStyle w:val="Hyperlink"/>
            <w:sz w:val="20"/>
            <w:szCs w:val="20"/>
            <w:lang w:val="en-IN"/>
          </w:rPr>
          <w:t>https://doi.org/10.5281/zenodo.13683889</w:t>
        </w:r>
      </w:hyperlink>
      <w:r w:rsidR="009E18B1" w:rsidRPr="00475FA2">
        <w:rPr>
          <w:sz w:val="20"/>
          <w:szCs w:val="20"/>
          <w:lang w:val="en-IN"/>
        </w:rPr>
        <w:t xml:space="preserve"> </w:t>
      </w:r>
      <w:r w:rsidRPr="00475FA2">
        <w:rPr>
          <w:sz w:val="20"/>
          <w:szCs w:val="20"/>
          <w:lang w:val="en-IN"/>
        </w:rPr>
        <w:t xml:space="preserve"> </w:t>
      </w:r>
    </w:p>
    <w:p w14:paraId="3C38EE32" w14:textId="6AE12FCA"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lastRenderedPageBreak/>
        <w:t xml:space="preserve">Kaakandikar, D. R. (2020). A study on credit risk management. Zenodo. </w:t>
      </w:r>
      <w:hyperlink r:id="rId49" w:history="1">
        <w:r w:rsidR="009E18B1" w:rsidRPr="00475FA2">
          <w:rPr>
            <w:rStyle w:val="Hyperlink"/>
            <w:sz w:val="20"/>
            <w:szCs w:val="20"/>
            <w:lang w:val="en-IN"/>
          </w:rPr>
          <w:t>https://doi.org/10.5281/zenodo.13683981</w:t>
        </w:r>
      </w:hyperlink>
      <w:r w:rsidR="009E18B1" w:rsidRPr="00475FA2">
        <w:rPr>
          <w:sz w:val="20"/>
          <w:szCs w:val="20"/>
          <w:lang w:val="en-IN"/>
        </w:rPr>
        <w:t xml:space="preserve"> </w:t>
      </w:r>
      <w:r w:rsidRPr="00475FA2">
        <w:rPr>
          <w:sz w:val="20"/>
          <w:szCs w:val="20"/>
          <w:lang w:val="en-IN"/>
        </w:rPr>
        <w:t xml:space="preserve"> </w:t>
      </w:r>
    </w:p>
    <w:p w14:paraId="6F16BB91" w14:textId="68E90BDD"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(2020). A study on financial analysis of Maruti Suzuki India Limited Company. Zenodo. </w:t>
      </w:r>
      <w:hyperlink r:id="rId50" w:history="1">
        <w:r w:rsidR="009E18B1" w:rsidRPr="00475FA2">
          <w:rPr>
            <w:rStyle w:val="Hyperlink"/>
            <w:sz w:val="20"/>
            <w:szCs w:val="20"/>
            <w:lang w:val="en-IN"/>
          </w:rPr>
          <w:t>https://doi.org/10.5281/zenodo.13684029</w:t>
        </w:r>
      </w:hyperlink>
      <w:r w:rsidR="009E18B1" w:rsidRPr="00475FA2">
        <w:rPr>
          <w:sz w:val="20"/>
          <w:szCs w:val="20"/>
          <w:lang w:val="en-IN"/>
        </w:rPr>
        <w:t xml:space="preserve"> </w:t>
      </w:r>
      <w:r w:rsidRPr="00475FA2">
        <w:rPr>
          <w:sz w:val="20"/>
          <w:szCs w:val="20"/>
          <w:lang w:val="en-IN"/>
        </w:rPr>
        <w:t xml:space="preserve"> </w:t>
      </w:r>
    </w:p>
    <w:p w14:paraId="5626ADD9" w14:textId="519B628C"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(2020). A study on job satisfaction of employees in an organization. Zenodo. </w:t>
      </w:r>
      <w:hyperlink r:id="rId51" w:history="1">
        <w:r w:rsidR="009E18B1" w:rsidRPr="00475FA2">
          <w:rPr>
            <w:rStyle w:val="Hyperlink"/>
            <w:sz w:val="20"/>
            <w:szCs w:val="20"/>
            <w:lang w:val="en-IN"/>
          </w:rPr>
          <w:t>https://doi.org/10.5281/zenodo.13684074</w:t>
        </w:r>
      </w:hyperlink>
      <w:r w:rsidR="009E18B1" w:rsidRPr="00475FA2">
        <w:rPr>
          <w:sz w:val="20"/>
          <w:szCs w:val="20"/>
          <w:lang w:val="en-IN"/>
        </w:rPr>
        <w:t xml:space="preserve"> </w:t>
      </w:r>
      <w:r w:rsidRPr="00475FA2">
        <w:rPr>
          <w:sz w:val="20"/>
          <w:szCs w:val="20"/>
          <w:lang w:val="en-IN"/>
        </w:rPr>
        <w:t xml:space="preserve"> </w:t>
      </w:r>
    </w:p>
    <w:p w14:paraId="24E8478F" w14:textId="27B0EA41"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(2020). A study on working capital management with ratio analysis of Span Pump Pvt. Ltd. Zenodo. </w:t>
      </w:r>
      <w:hyperlink r:id="rId52" w:history="1">
        <w:r w:rsidR="009E18B1" w:rsidRPr="00475FA2">
          <w:rPr>
            <w:rStyle w:val="Hyperlink"/>
            <w:sz w:val="20"/>
            <w:szCs w:val="20"/>
            <w:lang w:val="en-IN"/>
          </w:rPr>
          <w:t>https://doi.org/10.5281/zenodo.13684096</w:t>
        </w:r>
      </w:hyperlink>
      <w:r w:rsidR="009E18B1" w:rsidRPr="00475FA2">
        <w:rPr>
          <w:sz w:val="20"/>
          <w:szCs w:val="20"/>
          <w:lang w:val="en-IN"/>
        </w:rPr>
        <w:t xml:space="preserve"> </w:t>
      </w:r>
      <w:r w:rsidRPr="00475FA2">
        <w:rPr>
          <w:sz w:val="20"/>
          <w:szCs w:val="20"/>
          <w:lang w:val="en-IN"/>
        </w:rPr>
        <w:t xml:space="preserve"> </w:t>
      </w:r>
    </w:p>
    <w:p w14:paraId="7E0DF7BC" w14:textId="74FAF923"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(2020). Credit appraisal of home loan finance. Zenodo. </w:t>
      </w:r>
      <w:hyperlink r:id="rId53" w:history="1">
        <w:r w:rsidR="009E18B1" w:rsidRPr="00475FA2">
          <w:rPr>
            <w:rStyle w:val="Hyperlink"/>
            <w:sz w:val="20"/>
            <w:szCs w:val="20"/>
            <w:lang w:val="en-IN"/>
          </w:rPr>
          <w:t>https://doi.org/10.5281/zenodo.13684121</w:t>
        </w:r>
      </w:hyperlink>
      <w:r w:rsidR="009E18B1" w:rsidRPr="00475FA2">
        <w:rPr>
          <w:sz w:val="20"/>
          <w:szCs w:val="20"/>
          <w:lang w:val="en-IN"/>
        </w:rPr>
        <w:t xml:space="preserve"> </w:t>
      </w:r>
      <w:r w:rsidRPr="00475FA2">
        <w:rPr>
          <w:sz w:val="20"/>
          <w:szCs w:val="20"/>
          <w:lang w:val="en-IN"/>
        </w:rPr>
        <w:t xml:space="preserve"> </w:t>
      </w:r>
    </w:p>
    <w:p w14:paraId="78E5EFBD" w14:textId="7F28C59A"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(2020). Financial health analysis with the help of different metrics. Zenodo. </w:t>
      </w:r>
      <w:hyperlink r:id="rId54" w:history="1">
        <w:r w:rsidR="009E18B1" w:rsidRPr="00475FA2">
          <w:rPr>
            <w:rStyle w:val="Hyperlink"/>
            <w:sz w:val="20"/>
            <w:szCs w:val="20"/>
            <w:lang w:val="en-IN"/>
          </w:rPr>
          <w:t>https://doi.org/10.5281/zenodo.13684144</w:t>
        </w:r>
      </w:hyperlink>
      <w:r w:rsidR="009E18B1" w:rsidRPr="00475FA2">
        <w:rPr>
          <w:sz w:val="20"/>
          <w:szCs w:val="20"/>
          <w:lang w:val="en-IN"/>
        </w:rPr>
        <w:t xml:space="preserve"> </w:t>
      </w:r>
      <w:r w:rsidRPr="00475FA2">
        <w:rPr>
          <w:sz w:val="20"/>
          <w:szCs w:val="20"/>
          <w:lang w:val="en-IN"/>
        </w:rPr>
        <w:t xml:space="preserve"> </w:t>
      </w:r>
    </w:p>
    <w:p w14:paraId="282B1D06" w14:textId="258C1DFE"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(2020). Importance of training staff in the modern workplace era. Zenodo. </w:t>
      </w:r>
      <w:hyperlink r:id="rId55" w:history="1">
        <w:r w:rsidR="009E18B1" w:rsidRPr="00475FA2">
          <w:rPr>
            <w:rStyle w:val="Hyperlink"/>
            <w:sz w:val="20"/>
            <w:szCs w:val="20"/>
            <w:lang w:val="en-IN"/>
          </w:rPr>
          <w:t>https://doi.org/10.5281/zenodo.13684198</w:t>
        </w:r>
      </w:hyperlink>
      <w:r w:rsidR="009E18B1" w:rsidRPr="00475FA2">
        <w:rPr>
          <w:sz w:val="20"/>
          <w:szCs w:val="20"/>
          <w:lang w:val="en-IN"/>
        </w:rPr>
        <w:t xml:space="preserve"> </w:t>
      </w:r>
      <w:r w:rsidRPr="00475FA2">
        <w:rPr>
          <w:sz w:val="20"/>
          <w:szCs w:val="20"/>
          <w:lang w:val="en-IN"/>
        </w:rPr>
        <w:t xml:space="preserve"> </w:t>
      </w:r>
    </w:p>
    <w:p w14:paraId="2917E6CC" w14:textId="2B332D78"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(2020). Study of news website for mortgage industries. Zenodo. </w:t>
      </w:r>
    </w:p>
    <w:p w14:paraId="1905304C" w14:textId="5528A121" w:rsidR="00A42A41" w:rsidRPr="00475FA2" w:rsidRDefault="009E18B1" w:rsidP="00475FA2">
      <w:pPr>
        <w:pStyle w:val="ListParagraph"/>
        <w:numPr>
          <w:ilvl w:val="0"/>
          <w:numId w:val="13"/>
        </w:numPr>
        <w:spacing w:before="120" w:line="276" w:lineRule="auto"/>
        <w:ind w:left="360"/>
        <w:rPr>
          <w:sz w:val="20"/>
          <w:szCs w:val="20"/>
          <w:lang w:val="en-IN"/>
        </w:rPr>
      </w:pPr>
      <w:hyperlink r:id="rId56" w:history="1">
        <w:r w:rsidRPr="00475FA2">
          <w:rPr>
            <w:rStyle w:val="Hyperlink"/>
            <w:sz w:val="20"/>
            <w:szCs w:val="20"/>
            <w:lang w:val="en-IN"/>
          </w:rPr>
          <w:t>https://doi.org/10.5281/zenodo.13684217</w:t>
        </w:r>
      </w:hyperlink>
      <w:r w:rsidRPr="00475FA2">
        <w:rPr>
          <w:sz w:val="20"/>
          <w:szCs w:val="20"/>
          <w:lang w:val="en-IN"/>
        </w:rPr>
        <w:t xml:space="preserve"> </w:t>
      </w:r>
      <w:r w:rsidR="00A42A41" w:rsidRPr="00475FA2">
        <w:rPr>
          <w:sz w:val="20"/>
          <w:szCs w:val="20"/>
          <w:lang w:val="en-IN"/>
        </w:rPr>
        <w:t xml:space="preserve"> </w:t>
      </w:r>
    </w:p>
    <w:p w14:paraId="771A812A" w14:textId="6E7FE86A"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(2020). Study of performance appraisal system at Ieinfosoft, Pune. Zenodo. </w:t>
      </w:r>
      <w:hyperlink r:id="rId57" w:history="1">
        <w:r w:rsidR="009E18B1" w:rsidRPr="00475FA2">
          <w:rPr>
            <w:rStyle w:val="Hyperlink"/>
            <w:sz w:val="20"/>
            <w:szCs w:val="20"/>
            <w:lang w:val="en-IN"/>
          </w:rPr>
          <w:t>https://doi.org/10.5281/zenodo.13684245</w:t>
        </w:r>
      </w:hyperlink>
      <w:r w:rsidR="009E18B1" w:rsidRPr="00475FA2">
        <w:rPr>
          <w:sz w:val="20"/>
          <w:szCs w:val="20"/>
          <w:lang w:val="en-IN"/>
        </w:rPr>
        <w:t xml:space="preserve"> </w:t>
      </w:r>
      <w:r w:rsidRPr="00475FA2">
        <w:rPr>
          <w:sz w:val="20"/>
          <w:szCs w:val="20"/>
          <w:lang w:val="en-IN"/>
        </w:rPr>
        <w:t xml:space="preserve"> </w:t>
      </w:r>
    </w:p>
    <w:p w14:paraId="4EDA12E1" w14:textId="23371FE1"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(2020). Study of tax planning of individual assessee and HUF. Zenodo. </w:t>
      </w:r>
      <w:hyperlink r:id="rId58" w:history="1">
        <w:r w:rsidR="009E18B1" w:rsidRPr="00475FA2">
          <w:rPr>
            <w:rStyle w:val="Hyperlink"/>
            <w:sz w:val="20"/>
            <w:szCs w:val="20"/>
            <w:lang w:val="en-IN"/>
          </w:rPr>
          <w:t>https://doi.org/10.5281/zenodo.13684264</w:t>
        </w:r>
      </w:hyperlink>
      <w:r w:rsidR="009E18B1" w:rsidRPr="00475FA2">
        <w:rPr>
          <w:sz w:val="20"/>
          <w:szCs w:val="20"/>
          <w:lang w:val="en-IN"/>
        </w:rPr>
        <w:t xml:space="preserve"> </w:t>
      </w:r>
      <w:r w:rsidRPr="00475FA2">
        <w:rPr>
          <w:sz w:val="20"/>
          <w:szCs w:val="20"/>
          <w:lang w:val="en-IN"/>
        </w:rPr>
        <w:t xml:space="preserve"> </w:t>
      </w:r>
    </w:p>
    <w:p w14:paraId="1F132DDD" w14:textId="1D85CA28"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(2020). The study of SEO for organic branding of SMEs. Zenodo. </w:t>
      </w:r>
      <w:hyperlink r:id="rId59" w:history="1">
        <w:r w:rsidR="009E18B1" w:rsidRPr="00475FA2">
          <w:rPr>
            <w:rStyle w:val="Hyperlink"/>
            <w:sz w:val="20"/>
            <w:szCs w:val="20"/>
            <w:lang w:val="en-IN"/>
          </w:rPr>
          <w:t>https://doi.org/10.5281/zenodo.13684275</w:t>
        </w:r>
      </w:hyperlink>
      <w:r w:rsidR="009E18B1" w:rsidRPr="00475FA2">
        <w:rPr>
          <w:sz w:val="20"/>
          <w:szCs w:val="20"/>
          <w:lang w:val="en-IN"/>
        </w:rPr>
        <w:t xml:space="preserve"> </w:t>
      </w:r>
      <w:r w:rsidRPr="00475FA2">
        <w:rPr>
          <w:sz w:val="20"/>
          <w:szCs w:val="20"/>
          <w:lang w:val="en-IN"/>
        </w:rPr>
        <w:t xml:space="preserve"> </w:t>
      </w:r>
    </w:p>
    <w:p w14:paraId="3DD32EE2" w14:textId="230B1CA5"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(2020). To study the challenges and opportunities of India's increased </w:t>
      </w:r>
      <w:r w:rsidRPr="00475FA2">
        <w:rPr>
          <w:sz w:val="20"/>
          <w:szCs w:val="20"/>
          <w:lang w:val="en-IN"/>
        </w:rPr>
        <w:t xml:space="preserve">participation in the global economy. Zenodo. </w:t>
      </w:r>
      <w:hyperlink r:id="rId60" w:history="1">
        <w:r w:rsidR="009E18B1" w:rsidRPr="00475FA2">
          <w:rPr>
            <w:rStyle w:val="Hyperlink"/>
            <w:sz w:val="20"/>
            <w:szCs w:val="20"/>
            <w:lang w:val="en-IN"/>
          </w:rPr>
          <w:t>https://doi.org/10.5281/zenodo.13684308</w:t>
        </w:r>
      </w:hyperlink>
      <w:r w:rsidR="009E18B1" w:rsidRPr="00475FA2">
        <w:rPr>
          <w:sz w:val="20"/>
          <w:szCs w:val="20"/>
          <w:lang w:val="en-IN"/>
        </w:rPr>
        <w:t xml:space="preserve"> </w:t>
      </w:r>
      <w:r w:rsidRPr="00475FA2">
        <w:rPr>
          <w:sz w:val="20"/>
          <w:szCs w:val="20"/>
          <w:lang w:val="en-IN"/>
        </w:rPr>
        <w:t xml:space="preserve"> </w:t>
      </w:r>
    </w:p>
    <w:p w14:paraId="69BA6566" w14:textId="3A1A9BB7"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(2020). To study the financial position of Maruti Suzuki India Ltd. using ratio analysis. Zenodo. </w:t>
      </w:r>
      <w:hyperlink r:id="rId61" w:history="1">
        <w:r w:rsidR="009E18B1" w:rsidRPr="00475FA2">
          <w:rPr>
            <w:rStyle w:val="Hyperlink"/>
            <w:sz w:val="20"/>
            <w:szCs w:val="20"/>
            <w:lang w:val="en-IN"/>
          </w:rPr>
          <w:t>https://doi.org/10.5281/zenodo.13684331</w:t>
        </w:r>
      </w:hyperlink>
      <w:r w:rsidR="009E18B1" w:rsidRPr="00475FA2">
        <w:rPr>
          <w:sz w:val="20"/>
          <w:szCs w:val="20"/>
          <w:lang w:val="en-IN"/>
        </w:rPr>
        <w:t xml:space="preserve"> </w:t>
      </w:r>
      <w:r w:rsidRPr="00475FA2">
        <w:rPr>
          <w:sz w:val="20"/>
          <w:szCs w:val="20"/>
          <w:lang w:val="en-IN"/>
        </w:rPr>
        <w:t xml:space="preserve"> </w:t>
      </w:r>
    </w:p>
    <w:p w14:paraId="2ED0D6F8" w14:textId="565A2EBB"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(2020). To study the import–export procedure and documentation with reference to Thermax Limited. Zenodo. </w:t>
      </w:r>
      <w:hyperlink r:id="rId62" w:history="1">
        <w:r w:rsidR="009E18B1" w:rsidRPr="00475FA2">
          <w:rPr>
            <w:rStyle w:val="Hyperlink"/>
            <w:sz w:val="20"/>
            <w:szCs w:val="20"/>
            <w:lang w:val="en-IN"/>
          </w:rPr>
          <w:t>https://doi.org/10.5281/zenodo.13684360</w:t>
        </w:r>
      </w:hyperlink>
      <w:r w:rsidR="009E18B1" w:rsidRPr="00475FA2">
        <w:rPr>
          <w:sz w:val="20"/>
          <w:szCs w:val="20"/>
          <w:lang w:val="en-IN"/>
        </w:rPr>
        <w:t xml:space="preserve"> </w:t>
      </w:r>
      <w:r w:rsidRPr="00475FA2">
        <w:rPr>
          <w:sz w:val="20"/>
          <w:szCs w:val="20"/>
          <w:lang w:val="en-IN"/>
        </w:rPr>
        <w:t xml:space="preserve"> </w:t>
      </w:r>
      <w:r w:rsidR="009E18B1" w:rsidRPr="00475FA2">
        <w:rPr>
          <w:sz w:val="20"/>
          <w:szCs w:val="20"/>
          <w:lang w:val="en-IN"/>
        </w:rPr>
        <w:t xml:space="preserve"> </w:t>
      </w:r>
    </w:p>
    <w:p w14:paraId="1CD3A490" w14:textId="7B2E6F6C"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(2020). A comparative study of e-banking: Kotak and ICICI Bank. Zenodo. </w:t>
      </w:r>
      <w:hyperlink r:id="rId63" w:history="1">
        <w:r w:rsidR="009E18B1" w:rsidRPr="00475FA2">
          <w:rPr>
            <w:rStyle w:val="Hyperlink"/>
            <w:sz w:val="20"/>
            <w:szCs w:val="20"/>
            <w:lang w:val="en-IN"/>
          </w:rPr>
          <w:t>https://doi.org/10.5281/zenodo.13684386</w:t>
        </w:r>
      </w:hyperlink>
      <w:r w:rsidR="009E18B1" w:rsidRPr="00475FA2">
        <w:rPr>
          <w:sz w:val="20"/>
          <w:szCs w:val="20"/>
          <w:lang w:val="en-IN"/>
        </w:rPr>
        <w:t xml:space="preserve"> </w:t>
      </w:r>
      <w:r w:rsidRPr="00475FA2">
        <w:rPr>
          <w:sz w:val="20"/>
          <w:szCs w:val="20"/>
          <w:lang w:val="en-IN"/>
        </w:rPr>
        <w:t xml:space="preserve"> </w:t>
      </w:r>
    </w:p>
    <w:p w14:paraId="7E5CF230" w14:textId="39CC9AB7"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Espinoza, M. C., Ganatra, V., Prasanth, K., Sinha, R., Montañez, C. E. O., Sunil, K. M., &amp; Kaakandikar, R. (2021). Consumer behavior analysis on online and offline shopping during pandemic situation. International Journal of Accounting &amp; Finance in Asia Pacific, 4(3), 75–87. </w:t>
      </w:r>
      <w:hyperlink r:id="rId64" w:history="1">
        <w:r w:rsidR="009E18B1" w:rsidRPr="00475FA2">
          <w:rPr>
            <w:rStyle w:val="Hyperlink"/>
            <w:sz w:val="20"/>
            <w:szCs w:val="20"/>
            <w:lang w:val="en-IN"/>
          </w:rPr>
          <w:t>https://doi.org/10.32535/ijafap.v4i3.1208</w:t>
        </w:r>
      </w:hyperlink>
      <w:r w:rsidR="009E18B1" w:rsidRPr="00475FA2">
        <w:rPr>
          <w:sz w:val="20"/>
          <w:szCs w:val="20"/>
          <w:lang w:val="en-IN"/>
        </w:rPr>
        <w:t xml:space="preserve"> </w:t>
      </w:r>
      <w:r w:rsidRPr="00475FA2">
        <w:rPr>
          <w:sz w:val="20"/>
          <w:szCs w:val="20"/>
          <w:lang w:val="en-IN"/>
        </w:rPr>
        <w:t xml:space="preserve"> </w:t>
      </w:r>
    </w:p>
    <w:p w14:paraId="5F92CC62" w14:textId="4D286DF2"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Sinha, R., Nair, R. K., Naik, V., Ganatra, V., Singri, P., Singh, P., Kamble, A. R., Kaakandikar, R., KJ, S., &amp; Modawal, </w:t>
      </w:r>
    </w:p>
    <w:p w14:paraId="4EC41F63" w14:textId="5F78423C"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(2020). New norm in consumer buying pattern: Online shopping swing amid the Coronavirus pandemic. </w:t>
      </w:r>
    </w:p>
    <w:p w14:paraId="54F4EDDC" w14:textId="227D4706"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Espinoza, M. C., Nair, R. K., Mulani, R., Kaakandikar, R., Quispe, A., &amp; Riva, F. (2021). The effects of COVID-19 pandemic on tourism sector. International Journal of Tourism and Hospitality in Asia Pacific, 4(3), 115–121. </w:t>
      </w:r>
      <w:hyperlink r:id="rId65" w:history="1">
        <w:r w:rsidR="009E18B1" w:rsidRPr="00475FA2">
          <w:rPr>
            <w:rStyle w:val="Hyperlink"/>
            <w:sz w:val="20"/>
            <w:szCs w:val="20"/>
            <w:lang w:val="en-IN"/>
          </w:rPr>
          <w:t>https://doi.org/10.32535/ijthap.v4i3.1213</w:t>
        </w:r>
      </w:hyperlink>
      <w:r w:rsidR="009E18B1" w:rsidRPr="00475FA2">
        <w:rPr>
          <w:sz w:val="20"/>
          <w:szCs w:val="20"/>
          <w:lang w:val="en-IN"/>
        </w:rPr>
        <w:t xml:space="preserve"> </w:t>
      </w:r>
      <w:r w:rsidRPr="00475FA2">
        <w:rPr>
          <w:sz w:val="20"/>
          <w:szCs w:val="20"/>
          <w:lang w:val="en-IN"/>
        </w:rPr>
        <w:t xml:space="preserve"> </w:t>
      </w:r>
    </w:p>
    <w:p w14:paraId="5355E30B" w14:textId="42F85572"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Ganatra, V., Kaakandikar, R., Izzuddin, M., Kee, D. M. H., Zainuddin, N. B., Bukhari, M. A. Z., Nurhakim, M. A., &amp; Panwar, V. (2021). The impact of food delivery apps on customer perceived value among university students. Journal of the Community Development in Asia, 4(3), 68–78. </w:t>
      </w:r>
      <w:hyperlink r:id="rId66" w:history="1">
        <w:r w:rsidR="009E18B1" w:rsidRPr="00475FA2">
          <w:rPr>
            <w:rStyle w:val="Hyperlink"/>
            <w:sz w:val="20"/>
            <w:szCs w:val="20"/>
            <w:lang w:val="en-IN"/>
          </w:rPr>
          <w:t>https://doi.org/10.32535/jcda.v4i3.1182</w:t>
        </w:r>
      </w:hyperlink>
      <w:r w:rsidR="009E18B1" w:rsidRPr="00475FA2">
        <w:rPr>
          <w:sz w:val="20"/>
          <w:szCs w:val="20"/>
          <w:lang w:val="en-IN"/>
        </w:rPr>
        <w:t xml:space="preserve"> </w:t>
      </w:r>
      <w:r w:rsidRPr="00475FA2">
        <w:rPr>
          <w:sz w:val="20"/>
          <w:szCs w:val="20"/>
          <w:lang w:val="en-IN"/>
        </w:rPr>
        <w:t xml:space="preserve"> </w:t>
      </w:r>
    </w:p>
    <w:p w14:paraId="20F3F9D6" w14:textId="0EF3160D"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lastRenderedPageBreak/>
        <w:t xml:space="preserve">G, L. S. (2017). A performance analysis of select public and private mutual funds. [Doctoral dissertation, SRTMUN]. </w:t>
      </w:r>
      <w:hyperlink r:id="rId67" w:history="1">
        <w:r w:rsidR="009E18B1" w:rsidRPr="00475FA2">
          <w:rPr>
            <w:rStyle w:val="Hyperlink"/>
            <w:sz w:val="20"/>
            <w:szCs w:val="20"/>
            <w:lang w:val="en-IN"/>
          </w:rPr>
          <w:t>http://hdl.handle.net/10603/194579</w:t>
        </w:r>
      </w:hyperlink>
      <w:r w:rsidR="009E18B1" w:rsidRPr="00475FA2">
        <w:rPr>
          <w:sz w:val="20"/>
          <w:szCs w:val="20"/>
          <w:lang w:val="en-IN"/>
        </w:rPr>
        <w:t xml:space="preserve"> </w:t>
      </w:r>
      <w:r w:rsidRPr="00475FA2">
        <w:rPr>
          <w:sz w:val="20"/>
          <w:szCs w:val="20"/>
          <w:lang w:val="en-IN"/>
        </w:rPr>
        <w:t xml:space="preserve"> </w:t>
      </w:r>
    </w:p>
    <w:p w14:paraId="4AC43C3E" w14:textId="43717C07"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A study on the customer level of satisfaction towards Café Coffee Day product and service in Pune City. (2023, March 14). </w:t>
      </w:r>
      <w:hyperlink r:id="rId68" w:history="1">
        <w:r w:rsidR="009E18B1" w:rsidRPr="00475FA2">
          <w:rPr>
            <w:rStyle w:val="Hyperlink"/>
            <w:sz w:val="20"/>
            <w:szCs w:val="20"/>
            <w:lang w:val="en-IN"/>
          </w:rPr>
          <w:t>https://journals.kozminski.cem-j.org/index.php/pl_cemj/article/view/617</w:t>
        </w:r>
      </w:hyperlink>
      <w:r w:rsidR="009E18B1" w:rsidRPr="00475FA2">
        <w:rPr>
          <w:sz w:val="20"/>
          <w:szCs w:val="20"/>
          <w:lang w:val="en-IN"/>
        </w:rPr>
        <w:t xml:space="preserve"> </w:t>
      </w:r>
      <w:r w:rsidRPr="00475FA2">
        <w:rPr>
          <w:sz w:val="20"/>
          <w:szCs w:val="20"/>
          <w:lang w:val="en-IN"/>
        </w:rPr>
        <w:t xml:space="preserve"> </w:t>
      </w:r>
    </w:p>
    <w:p w14:paraId="6547E486" w14:textId="36A3F5B7"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Shamout, M. D., Sivaprasad, R., Ramya, N., Pande, S., Kaakandikar, R., &amp; Fahlevi, M. (2022). Optical flow-based tracking of vehicles using adaptive particle filter target tracking algorithm for accident prevention. In 2022 International Conference on Automation, Computing and Renewable Systems (ICACRS) (pp. 1-5). IEEE. </w:t>
      </w:r>
      <w:hyperlink r:id="rId69" w:history="1">
        <w:r w:rsidR="009E18B1" w:rsidRPr="00475FA2">
          <w:rPr>
            <w:rStyle w:val="Hyperlink"/>
            <w:sz w:val="20"/>
            <w:szCs w:val="20"/>
            <w:lang w:val="en-IN"/>
          </w:rPr>
          <w:t>https://doi.org/10.1109/icacrs55517.2022.10029204</w:t>
        </w:r>
      </w:hyperlink>
      <w:r w:rsidR="009E18B1" w:rsidRPr="00475FA2">
        <w:rPr>
          <w:sz w:val="20"/>
          <w:szCs w:val="20"/>
          <w:lang w:val="en-IN"/>
        </w:rPr>
        <w:t xml:space="preserve"> </w:t>
      </w:r>
      <w:r w:rsidRPr="00475FA2">
        <w:rPr>
          <w:sz w:val="20"/>
          <w:szCs w:val="20"/>
          <w:lang w:val="en-IN"/>
        </w:rPr>
        <w:t xml:space="preserve"> </w:t>
      </w:r>
    </w:p>
    <w:p w14:paraId="586792F7" w14:textId="1AC1565E"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R., &amp; Rangade, A. (2019, November 9). A study on job satisfaction of employees in an organization. Think India Journal - Vichar Nyas </w:t>
      </w:r>
    </w:p>
    <w:p w14:paraId="1216C5E5" w14:textId="79EEA0C0"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Foundation. </w:t>
      </w:r>
      <w:hyperlink r:id="rId70" w:history="1">
        <w:r w:rsidR="009E18B1" w:rsidRPr="00475FA2">
          <w:rPr>
            <w:rStyle w:val="Hyperlink"/>
            <w:sz w:val="20"/>
            <w:szCs w:val="20"/>
            <w:lang w:val="en-IN"/>
          </w:rPr>
          <w:t>https://thinkindiaquarterly.org/index.php/think-india/article/view/10355</w:t>
        </w:r>
      </w:hyperlink>
      <w:r w:rsidR="009E18B1" w:rsidRPr="00475FA2">
        <w:rPr>
          <w:sz w:val="20"/>
          <w:szCs w:val="20"/>
          <w:lang w:val="en-IN"/>
        </w:rPr>
        <w:t xml:space="preserve"> </w:t>
      </w:r>
      <w:r w:rsidRPr="00475FA2">
        <w:rPr>
          <w:sz w:val="20"/>
          <w:szCs w:val="20"/>
          <w:lang w:val="en-IN"/>
        </w:rPr>
        <w:t xml:space="preserve"> </w:t>
      </w:r>
    </w:p>
    <w:p w14:paraId="0EB2942C" w14:textId="239F9AC2"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(2024). Beyond reach: micro-influencers vs. celebrities - A comparative analysis of engagement and brand sentiment in influencer marketing. In Beyond reach: micro-influencers vs. celebrities - A comparative analysis of engagement and brand sentiment in influencer marketing (Vol. 21, No. 6). Zenodo. </w:t>
      </w:r>
      <w:hyperlink r:id="rId71" w:history="1">
        <w:r w:rsidR="009E18B1" w:rsidRPr="00475FA2">
          <w:rPr>
            <w:rStyle w:val="Hyperlink"/>
            <w:sz w:val="20"/>
            <w:szCs w:val="20"/>
            <w:lang w:val="en-IN"/>
          </w:rPr>
          <w:t>https://doi.org/10.5281/zenodo.13705742</w:t>
        </w:r>
      </w:hyperlink>
      <w:r w:rsidR="009E18B1" w:rsidRPr="00475FA2">
        <w:rPr>
          <w:sz w:val="20"/>
          <w:szCs w:val="20"/>
          <w:lang w:val="en-IN"/>
        </w:rPr>
        <w:t xml:space="preserve"> </w:t>
      </w:r>
      <w:r w:rsidRPr="00475FA2">
        <w:rPr>
          <w:sz w:val="20"/>
          <w:szCs w:val="20"/>
          <w:lang w:val="en-IN"/>
        </w:rPr>
        <w:t xml:space="preserve"> </w:t>
      </w:r>
    </w:p>
    <w:p w14:paraId="73EB1560" w14:textId="5D9A9DF8"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R. (2022, November 1). A study of awareness and behavior towards equity and derivative market. Social Science Research Network (SSRN). </w:t>
      </w:r>
      <w:hyperlink r:id="rId72" w:history="1">
        <w:r w:rsidR="009E18B1" w:rsidRPr="00475FA2">
          <w:rPr>
            <w:rStyle w:val="Hyperlink"/>
            <w:sz w:val="20"/>
            <w:szCs w:val="20"/>
            <w:lang w:val="en-IN"/>
          </w:rPr>
          <w:t>https://papers.ssrn.com/sol3/papers.cfm?abstract_id=4912797</w:t>
        </w:r>
      </w:hyperlink>
      <w:r w:rsidR="009E18B1" w:rsidRPr="00475FA2">
        <w:rPr>
          <w:sz w:val="20"/>
          <w:szCs w:val="20"/>
          <w:lang w:val="en-IN"/>
        </w:rPr>
        <w:t xml:space="preserve"> </w:t>
      </w:r>
      <w:r w:rsidRPr="00475FA2">
        <w:rPr>
          <w:sz w:val="20"/>
          <w:szCs w:val="20"/>
          <w:lang w:val="en-IN"/>
        </w:rPr>
        <w:t xml:space="preserve"> </w:t>
      </w:r>
    </w:p>
    <w:p w14:paraId="1CA00953" w14:textId="36F3FCCA"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Pérez-Restrepo, C., López, C. A., Singh, P., Ochoa, A. M. R., Ceballos, D. V., Tilekar, G. D., </w:t>
      </w:r>
      <w:r w:rsidRPr="00475FA2">
        <w:rPr>
          <w:sz w:val="20"/>
          <w:szCs w:val="20"/>
          <w:lang w:val="en-IN"/>
        </w:rPr>
        <w:t>&amp; Kaakandikar, R. (2021). Improving online customer satisfaction: A study on Biba. International Journal of Accounting &amp; Finance in Asia Pacific, 4(3), 88–99</w:t>
      </w:r>
      <w:r w:rsidR="009E18B1" w:rsidRPr="00475FA2">
        <w:rPr>
          <w:sz w:val="20"/>
          <w:szCs w:val="20"/>
          <w:lang w:val="en-IN"/>
        </w:rPr>
        <w:t xml:space="preserve"> </w:t>
      </w:r>
      <w:r w:rsidRPr="00475FA2">
        <w:rPr>
          <w:sz w:val="20"/>
          <w:szCs w:val="20"/>
          <w:lang w:val="en-IN"/>
        </w:rPr>
        <w:t xml:space="preserve"> </w:t>
      </w:r>
    </w:p>
    <w:p w14:paraId="42927BF6" w14:textId="7CC433FE"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Poman, A., &amp; Kaakandikar, R. (2022, August 11). Study &amp; calculation of Goods and Service Tax (GST). Journal of Positive School Psychology. </w:t>
      </w:r>
      <w:hyperlink r:id="rId73" w:history="1">
        <w:r w:rsidR="009E18B1" w:rsidRPr="00475FA2">
          <w:rPr>
            <w:rStyle w:val="Hyperlink"/>
            <w:sz w:val="20"/>
            <w:szCs w:val="20"/>
            <w:lang w:val="en-IN"/>
          </w:rPr>
          <w:t>https://mail.journalppw.com/index.php/jpsp/article/view/10373</w:t>
        </w:r>
      </w:hyperlink>
      <w:r w:rsidR="009E18B1" w:rsidRPr="00475FA2">
        <w:rPr>
          <w:sz w:val="20"/>
          <w:szCs w:val="20"/>
          <w:lang w:val="en-IN"/>
        </w:rPr>
        <w:t xml:space="preserve"> </w:t>
      </w:r>
      <w:r w:rsidRPr="00475FA2">
        <w:rPr>
          <w:sz w:val="20"/>
          <w:szCs w:val="20"/>
          <w:lang w:val="en-IN"/>
        </w:rPr>
        <w:t xml:space="preserve"> </w:t>
      </w:r>
    </w:p>
    <w:p w14:paraId="08AA58CC" w14:textId="676B0B60"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(2024). Embracing phygital transformation for sustainability: IKEA's journey. (Vol. 21, No. 6). Zenodo. </w:t>
      </w:r>
      <w:hyperlink r:id="rId74" w:history="1">
        <w:r w:rsidR="009E18B1" w:rsidRPr="00475FA2">
          <w:rPr>
            <w:rStyle w:val="Hyperlink"/>
            <w:sz w:val="20"/>
            <w:szCs w:val="20"/>
            <w:lang w:val="en-IN"/>
          </w:rPr>
          <w:t>https://doi.org/10.5281/zenodo.13705463</w:t>
        </w:r>
      </w:hyperlink>
      <w:r w:rsidR="009E18B1" w:rsidRPr="00475FA2">
        <w:rPr>
          <w:sz w:val="20"/>
          <w:szCs w:val="20"/>
          <w:lang w:val="en-IN"/>
        </w:rPr>
        <w:t xml:space="preserve"> </w:t>
      </w:r>
    </w:p>
    <w:p w14:paraId="47A0852F" w14:textId="5F21C77E"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(2024). Cultural intelligence pedagogy in management education: Nurturing diversity-responsive leaders. In Cultural Intelligence Pedagogy in Management Education: Nurturing </w:t>
      </w:r>
    </w:p>
    <w:p w14:paraId="0A1D4814" w14:textId="22EF561C"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Diversity-Responsive Leaders (Vol. 44, No. 6). Zenodo. </w:t>
      </w:r>
      <w:hyperlink r:id="rId75" w:history="1">
        <w:r w:rsidR="009E18B1" w:rsidRPr="00475FA2">
          <w:rPr>
            <w:rStyle w:val="Hyperlink"/>
            <w:sz w:val="20"/>
            <w:szCs w:val="20"/>
            <w:lang w:val="en-IN"/>
          </w:rPr>
          <w:t>https://doi.org/10.5281/zenodo.13705855</w:t>
        </w:r>
      </w:hyperlink>
      <w:r w:rsidR="009E18B1" w:rsidRPr="00475FA2">
        <w:rPr>
          <w:sz w:val="20"/>
          <w:szCs w:val="20"/>
          <w:lang w:val="en-IN"/>
        </w:rPr>
        <w:t xml:space="preserve"> </w:t>
      </w:r>
      <w:r w:rsidRPr="00475FA2">
        <w:rPr>
          <w:sz w:val="20"/>
          <w:szCs w:val="20"/>
          <w:lang w:val="en-IN"/>
        </w:rPr>
        <w:t xml:space="preserve"> </w:t>
      </w:r>
    </w:p>
    <w:p w14:paraId="2062E310" w14:textId="04172DD3"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Tiwari, P., Kaakandikar, R., Bhosale, S. S., Nirmala, K., &amp; Kasar, B. (2024). A critical study of behavioural factors affecting mutual funds investors with special reference to Pune District. ES, 20(2), 47–61. </w:t>
      </w:r>
      <w:hyperlink r:id="rId76" w:history="1">
        <w:r w:rsidR="009E18B1" w:rsidRPr="00475FA2">
          <w:rPr>
            <w:rStyle w:val="Hyperlink"/>
            <w:sz w:val="20"/>
            <w:szCs w:val="20"/>
            <w:lang w:val="en-IN"/>
          </w:rPr>
          <w:t>https://doi.org/10.69889/667gf640</w:t>
        </w:r>
      </w:hyperlink>
      <w:r w:rsidR="009E18B1" w:rsidRPr="00475FA2">
        <w:rPr>
          <w:sz w:val="20"/>
          <w:szCs w:val="20"/>
          <w:lang w:val="en-IN"/>
        </w:rPr>
        <w:t xml:space="preserve"> </w:t>
      </w:r>
      <w:r w:rsidRPr="00475FA2">
        <w:rPr>
          <w:sz w:val="20"/>
          <w:szCs w:val="20"/>
          <w:lang w:val="en-IN"/>
        </w:rPr>
        <w:t xml:space="preserve"> </w:t>
      </w:r>
      <w:r w:rsidR="009E18B1" w:rsidRPr="00475FA2">
        <w:rPr>
          <w:sz w:val="20"/>
          <w:szCs w:val="20"/>
          <w:lang w:val="en-IN"/>
        </w:rPr>
        <w:t xml:space="preserve"> </w:t>
      </w:r>
    </w:p>
    <w:p w14:paraId="0CAD8E58" w14:textId="192A3930"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R., Lembhe, Y., &amp; Jiby, B. J. (2024). Unlocking spending trends: The behavioural impact of digital wallets on modern consumers. ES, 20(1), 127–143. https://doi.org/10.69889/sqj3vb23 </w:t>
      </w:r>
    </w:p>
    <w:p w14:paraId="793A7BEA" w14:textId="6C2FC7E9"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R., Gawande, R. P., Deshmukh, V. A., Raskar, S., &amp; Mulani, H. I. (2024). The strategic significance of artificial intelligence (AI) in HR operations and management. European Economic Letters (EEL), 14(3), 1424–1433. </w:t>
      </w:r>
      <w:hyperlink r:id="rId77" w:history="1">
        <w:r w:rsidR="009E18B1" w:rsidRPr="00475FA2">
          <w:rPr>
            <w:rStyle w:val="Hyperlink"/>
            <w:sz w:val="20"/>
            <w:szCs w:val="20"/>
            <w:lang w:val="en-IN"/>
          </w:rPr>
          <w:t>https://doi.org/10.52783/eel.v14i3.1907</w:t>
        </w:r>
      </w:hyperlink>
      <w:r w:rsidR="009E18B1" w:rsidRPr="00475FA2">
        <w:rPr>
          <w:sz w:val="20"/>
          <w:szCs w:val="20"/>
          <w:lang w:val="en-IN"/>
        </w:rPr>
        <w:t xml:space="preserve"> </w:t>
      </w:r>
      <w:r w:rsidRPr="00475FA2">
        <w:rPr>
          <w:sz w:val="20"/>
          <w:szCs w:val="20"/>
          <w:lang w:val="en-IN"/>
        </w:rPr>
        <w:t xml:space="preserve"> </w:t>
      </w:r>
    </w:p>
    <w:p w14:paraId="53B0B7D1" w14:textId="5EBB1D47"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Dr. Priya Tiwari, Dr. Rishikaysh Kaakandikar, Mr. Sahil Sachin Bhosale, Dr. K Nirmala, &amp; Dr. Bharat Kasar. (2024). A Critical Study of </w:t>
      </w:r>
      <w:r w:rsidRPr="00475FA2">
        <w:rPr>
          <w:sz w:val="20"/>
          <w:szCs w:val="20"/>
          <w:lang w:val="en-IN"/>
        </w:rPr>
        <w:lastRenderedPageBreak/>
        <w:t xml:space="preserve">Behavioural Factors Affecting Mutual Funds Investors with Special Reference to Pune District. In Economic Sciences (Vol. 20, Issue 2, pp. 47–61). STR Publication. </w:t>
      </w:r>
      <w:hyperlink r:id="rId78" w:history="1">
        <w:r w:rsidR="009E18B1" w:rsidRPr="00475FA2">
          <w:rPr>
            <w:rStyle w:val="Hyperlink"/>
            <w:sz w:val="20"/>
            <w:szCs w:val="20"/>
            <w:lang w:val="en-IN"/>
          </w:rPr>
          <w:t>https://doi.org/10.69889/667gf640</w:t>
        </w:r>
      </w:hyperlink>
      <w:r w:rsidR="009E18B1" w:rsidRPr="00475FA2">
        <w:rPr>
          <w:sz w:val="20"/>
          <w:szCs w:val="20"/>
          <w:lang w:val="en-IN"/>
        </w:rPr>
        <w:t xml:space="preserve"> </w:t>
      </w:r>
      <w:r w:rsidRPr="00475FA2">
        <w:rPr>
          <w:sz w:val="20"/>
          <w:szCs w:val="20"/>
          <w:lang w:val="en-IN"/>
        </w:rPr>
        <w:t xml:space="preserve"> </w:t>
      </w:r>
    </w:p>
    <w:p w14:paraId="3D88B7D9" w14:textId="489E139F"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The Strategic Significance of Artificial Intelligence (AI) in HR Operations and Management. (2024). In European Economic Letters. Science Research Society. https://doi.org/10.52783/eel.v14i3.1907 </w:t>
      </w:r>
    </w:p>
    <w:p w14:paraId="4101E164" w14:textId="1FF99C7B"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&amp; GAWADE, R. (2024). The Fall and Rise of C-Mart. Zenodo. </w:t>
      </w:r>
      <w:hyperlink r:id="rId79" w:history="1">
        <w:r w:rsidR="009E18B1" w:rsidRPr="00475FA2">
          <w:rPr>
            <w:rStyle w:val="Hyperlink"/>
            <w:sz w:val="20"/>
            <w:szCs w:val="20"/>
            <w:lang w:val="en-IN"/>
          </w:rPr>
          <w:t>https://doi.org/10.5281/zenodo.13886924</w:t>
        </w:r>
      </w:hyperlink>
      <w:r w:rsidR="009E18B1" w:rsidRPr="00475FA2">
        <w:rPr>
          <w:sz w:val="20"/>
          <w:szCs w:val="20"/>
          <w:lang w:val="en-IN"/>
        </w:rPr>
        <w:t xml:space="preserve"> </w:t>
      </w:r>
      <w:r w:rsidRPr="00475FA2">
        <w:rPr>
          <w:sz w:val="20"/>
          <w:szCs w:val="20"/>
          <w:lang w:val="en-IN"/>
        </w:rPr>
        <w:t xml:space="preserve"> </w:t>
      </w:r>
      <w:r w:rsidR="009E18B1" w:rsidRPr="00475FA2">
        <w:rPr>
          <w:sz w:val="20"/>
          <w:szCs w:val="20"/>
          <w:lang w:val="en-IN"/>
        </w:rPr>
        <w:t xml:space="preserve"> </w:t>
      </w:r>
    </w:p>
    <w:p w14:paraId="69FFA2D1" w14:textId="395B5DD3"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56.Pathak, S., Kaakandikar, R., &amp; Nim, D. (2024). Data-Driven Insights. In </w:t>
      </w:r>
    </w:p>
    <w:p w14:paraId="00307FD7" w14:textId="24AA165D"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Advances in Marketing, Customer Relationship Management, and E-Services (pp. 151–184). IGI Global. </w:t>
      </w:r>
      <w:hyperlink r:id="rId80" w:history="1">
        <w:r w:rsidR="009E18B1" w:rsidRPr="00475FA2">
          <w:rPr>
            <w:rStyle w:val="Hyperlink"/>
            <w:sz w:val="20"/>
            <w:szCs w:val="20"/>
            <w:lang w:val="en-IN"/>
          </w:rPr>
          <w:t>https://doi.org/10.4018/979-8-3693-7773-4.ch007</w:t>
        </w:r>
      </w:hyperlink>
      <w:r w:rsidR="009E18B1" w:rsidRPr="00475FA2">
        <w:rPr>
          <w:sz w:val="20"/>
          <w:szCs w:val="20"/>
          <w:lang w:val="en-IN"/>
        </w:rPr>
        <w:t xml:space="preserve"> </w:t>
      </w:r>
      <w:r w:rsidRPr="00475FA2">
        <w:rPr>
          <w:sz w:val="20"/>
          <w:szCs w:val="20"/>
          <w:lang w:val="en-IN"/>
        </w:rPr>
        <w:t xml:space="preserve"> </w:t>
      </w:r>
    </w:p>
    <w:p w14:paraId="5FA50BA8" w14:textId="5B418239"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57.KAAKANDIKAR, D. R. (2024). Decentralized Finance (DeFi) Solutions: A Computational Approach to Traditional Banking Systems. Zenodo. </w:t>
      </w:r>
      <w:hyperlink r:id="rId81" w:history="1">
        <w:r w:rsidR="009E18B1" w:rsidRPr="00475FA2">
          <w:rPr>
            <w:rStyle w:val="Hyperlink"/>
            <w:sz w:val="20"/>
            <w:szCs w:val="20"/>
            <w:lang w:val="en-IN"/>
          </w:rPr>
          <w:t>https://doi.org/10.5281/zenodo.14060433</w:t>
        </w:r>
      </w:hyperlink>
      <w:r w:rsidR="009E18B1" w:rsidRPr="00475FA2">
        <w:rPr>
          <w:sz w:val="20"/>
          <w:szCs w:val="20"/>
          <w:lang w:val="en-IN"/>
        </w:rPr>
        <w:t xml:space="preserve"> </w:t>
      </w:r>
    </w:p>
    <w:p w14:paraId="59BD20D8" w14:textId="60E33FDD"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(2025). IMPACT OF NON PERFORMING ASSETS ON PROFITABILITY OF BANKS A STUDY OF HDFC BANK. Zenodo. </w:t>
      </w:r>
      <w:hyperlink r:id="rId82" w:history="1">
        <w:r w:rsidR="009E18B1" w:rsidRPr="00475FA2">
          <w:rPr>
            <w:rStyle w:val="Hyperlink"/>
            <w:sz w:val="20"/>
            <w:szCs w:val="20"/>
            <w:lang w:val="en-IN"/>
          </w:rPr>
          <w:t>https://doi.org/10.5281/zenodo.14921386</w:t>
        </w:r>
      </w:hyperlink>
      <w:r w:rsidR="009E18B1" w:rsidRPr="00475FA2">
        <w:rPr>
          <w:sz w:val="20"/>
          <w:szCs w:val="20"/>
          <w:lang w:val="en-IN"/>
        </w:rPr>
        <w:t xml:space="preserve"> </w:t>
      </w:r>
    </w:p>
    <w:p w14:paraId="47A1ED83" w14:textId="4016B993"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(2025). A COMPREHENSIVE FRAMEWORK FOR MUTUAL FUNDS: STRATEGIES, PERFORMANCE, AND REGULATORY CONSIDERATIONS. Zenodo. </w:t>
      </w:r>
      <w:hyperlink r:id="rId83" w:history="1">
        <w:r w:rsidR="009E18B1" w:rsidRPr="00475FA2">
          <w:rPr>
            <w:rStyle w:val="Hyperlink"/>
            <w:sz w:val="20"/>
            <w:szCs w:val="20"/>
            <w:lang w:val="en-IN"/>
          </w:rPr>
          <w:t>https://doi.org/10.5281/zenodo.14921371</w:t>
        </w:r>
      </w:hyperlink>
      <w:r w:rsidR="009E18B1" w:rsidRPr="00475FA2">
        <w:rPr>
          <w:sz w:val="20"/>
          <w:szCs w:val="20"/>
          <w:lang w:val="en-IN"/>
        </w:rPr>
        <w:t xml:space="preserve"> </w:t>
      </w:r>
    </w:p>
    <w:p w14:paraId="2A219BC6" w14:textId="75F021E1"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(2025). EFFECTIVENESS OF POSITIVE PAY SYSTEM IN INDIAN BANKING INDUSTRIES: CUSTOMER'S AND BANKER'S PERCEPTION. Zenodo. </w:t>
      </w:r>
      <w:hyperlink r:id="rId84" w:history="1">
        <w:r w:rsidR="009E18B1" w:rsidRPr="00475FA2">
          <w:rPr>
            <w:rStyle w:val="Hyperlink"/>
            <w:sz w:val="20"/>
            <w:szCs w:val="20"/>
            <w:lang w:val="en-IN"/>
          </w:rPr>
          <w:t>https://doi.org/10.5281/zenodo.14922683</w:t>
        </w:r>
      </w:hyperlink>
      <w:r w:rsidR="009E18B1" w:rsidRPr="00475FA2">
        <w:rPr>
          <w:sz w:val="20"/>
          <w:szCs w:val="20"/>
          <w:lang w:val="en-IN"/>
        </w:rPr>
        <w:t xml:space="preserve"> </w:t>
      </w:r>
    </w:p>
    <w:p w14:paraId="6661C4F5" w14:textId="7961FCEF"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(2025). Fintech Revolution: Transforming the Financial Landscape in the Current Market. Zenodo. </w:t>
      </w:r>
      <w:hyperlink r:id="rId85" w:history="1">
        <w:r w:rsidR="009E18B1" w:rsidRPr="00475FA2">
          <w:rPr>
            <w:rStyle w:val="Hyperlink"/>
            <w:sz w:val="20"/>
            <w:szCs w:val="20"/>
            <w:lang w:val="en-IN"/>
          </w:rPr>
          <w:t>https://doi.org/10.5281/zenodo.14922731</w:t>
        </w:r>
      </w:hyperlink>
      <w:r w:rsidR="009E18B1" w:rsidRPr="00475FA2">
        <w:rPr>
          <w:sz w:val="20"/>
          <w:szCs w:val="20"/>
          <w:lang w:val="en-IN"/>
        </w:rPr>
        <w:t xml:space="preserve"> </w:t>
      </w:r>
    </w:p>
    <w:p w14:paraId="4FCDD686" w14:textId="60221897"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(2025). Digital Literacy Impact on Rural Business Skills: A Study from India. Zenodo. </w:t>
      </w:r>
      <w:hyperlink r:id="rId86" w:history="1">
        <w:r w:rsidR="009E18B1" w:rsidRPr="00475FA2">
          <w:rPr>
            <w:rStyle w:val="Hyperlink"/>
            <w:sz w:val="20"/>
            <w:szCs w:val="20"/>
            <w:lang w:val="en-IN"/>
          </w:rPr>
          <w:t>https://doi.org/10.5281/zenodo.14922783</w:t>
        </w:r>
      </w:hyperlink>
      <w:r w:rsidR="009E18B1" w:rsidRPr="00475FA2">
        <w:rPr>
          <w:sz w:val="20"/>
          <w:szCs w:val="20"/>
          <w:lang w:val="en-IN"/>
        </w:rPr>
        <w:t xml:space="preserve"> </w:t>
      </w:r>
    </w:p>
    <w:p w14:paraId="26ABC59F" w14:textId="02390719"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(2025). Risk and Return Analysis of Equity Shares in Automobile Sector. Zenodo. </w:t>
      </w:r>
      <w:hyperlink r:id="rId87" w:history="1">
        <w:r w:rsidR="009E18B1" w:rsidRPr="00475FA2">
          <w:rPr>
            <w:rStyle w:val="Hyperlink"/>
            <w:sz w:val="20"/>
            <w:szCs w:val="20"/>
            <w:lang w:val="en-IN"/>
          </w:rPr>
          <w:t>https://doi.org/10.5281/zenodo.14923010</w:t>
        </w:r>
      </w:hyperlink>
      <w:r w:rsidR="009E18B1" w:rsidRPr="00475FA2">
        <w:rPr>
          <w:sz w:val="20"/>
          <w:szCs w:val="20"/>
          <w:lang w:val="en-IN"/>
        </w:rPr>
        <w:t xml:space="preserve"> </w:t>
      </w:r>
    </w:p>
    <w:p w14:paraId="7C734654" w14:textId="15D8CF67"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(2025). </w:t>
      </w:r>
    </w:p>
    <w:p w14:paraId="26C930AA" w14:textId="69307AF4"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SaiBalaji Education Society, Pune SaiBalaji International Institute of Management Sciences. Zenodo. </w:t>
      </w:r>
      <w:hyperlink r:id="rId88" w:history="1">
        <w:r w:rsidR="009E18B1" w:rsidRPr="00475FA2">
          <w:rPr>
            <w:rStyle w:val="Hyperlink"/>
            <w:sz w:val="20"/>
            <w:szCs w:val="20"/>
            <w:lang w:val="en-IN"/>
          </w:rPr>
          <w:t>https://doi.org/10.5281/zenodo.14923148</w:t>
        </w:r>
      </w:hyperlink>
      <w:r w:rsidR="009E18B1" w:rsidRPr="00475FA2">
        <w:rPr>
          <w:sz w:val="20"/>
          <w:szCs w:val="20"/>
          <w:lang w:val="en-IN"/>
        </w:rPr>
        <w:t xml:space="preserve"> </w:t>
      </w:r>
    </w:p>
    <w:p w14:paraId="0F5CC3AD" w14:textId="03896039"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(2025). Recent Changes in Knowledge Management Post Lpg Era. Zenodo. </w:t>
      </w:r>
      <w:hyperlink r:id="rId89" w:history="1">
        <w:r w:rsidR="009E18B1" w:rsidRPr="00475FA2">
          <w:rPr>
            <w:rStyle w:val="Hyperlink"/>
            <w:sz w:val="20"/>
            <w:szCs w:val="20"/>
            <w:lang w:val="en-IN"/>
          </w:rPr>
          <w:t>https://doi.org/10.5281/zenodo.14929011</w:t>
        </w:r>
      </w:hyperlink>
      <w:r w:rsidR="009E18B1" w:rsidRPr="00475FA2">
        <w:rPr>
          <w:sz w:val="20"/>
          <w:szCs w:val="20"/>
          <w:lang w:val="en-IN"/>
        </w:rPr>
        <w:t xml:space="preserve"> </w:t>
      </w:r>
    </w:p>
    <w:p w14:paraId="74CB761F" w14:textId="33D2D353"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(2025). A Study on the economic analysis of direction of India's exports. Zenodo. </w:t>
      </w:r>
      <w:hyperlink r:id="rId90" w:history="1">
        <w:r w:rsidR="009E18B1" w:rsidRPr="00475FA2">
          <w:rPr>
            <w:rStyle w:val="Hyperlink"/>
            <w:sz w:val="20"/>
            <w:szCs w:val="20"/>
            <w:lang w:val="en-IN"/>
          </w:rPr>
          <w:t>https://doi.org/10.5281/zenodo.14929071</w:t>
        </w:r>
      </w:hyperlink>
      <w:r w:rsidR="009E18B1" w:rsidRPr="00475FA2">
        <w:rPr>
          <w:sz w:val="20"/>
          <w:szCs w:val="20"/>
          <w:lang w:val="en-IN"/>
        </w:rPr>
        <w:t xml:space="preserve"> </w:t>
      </w:r>
    </w:p>
    <w:p w14:paraId="3C7F7EE5" w14:textId="21FE02FF"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(2025). ROLE OF LIFE INSURANCE CORPORATION (LIC) IN ECONOMIC DEVELOPMENT OF INDIA. Zenodo. </w:t>
      </w:r>
      <w:hyperlink r:id="rId91" w:history="1">
        <w:r w:rsidR="009E18B1" w:rsidRPr="00475FA2">
          <w:rPr>
            <w:rStyle w:val="Hyperlink"/>
            <w:sz w:val="20"/>
            <w:szCs w:val="20"/>
            <w:lang w:val="en-IN"/>
          </w:rPr>
          <w:t>https://doi.org/10.5281/zenodo.14929283</w:t>
        </w:r>
      </w:hyperlink>
      <w:r w:rsidR="009E18B1" w:rsidRPr="00475FA2">
        <w:rPr>
          <w:sz w:val="20"/>
          <w:szCs w:val="20"/>
          <w:lang w:val="en-IN"/>
        </w:rPr>
        <w:t xml:space="preserve"> </w:t>
      </w:r>
    </w:p>
    <w:p w14:paraId="0233E5F2" w14:textId="7A08627C"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(2025). To Study the Role of Entrepreneurship Development Initiatives by Selected Management Institutes of Pune District in Making Student Mindset Positive Towards Entrepreneurship. Zenodo. </w:t>
      </w:r>
      <w:hyperlink r:id="rId92" w:history="1">
        <w:r w:rsidR="009E18B1" w:rsidRPr="00475FA2">
          <w:rPr>
            <w:rStyle w:val="Hyperlink"/>
            <w:sz w:val="20"/>
            <w:szCs w:val="20"/>
            <w:lang w:val="en-IN"/>
          </w:rPr>
          <w:t>https://doi.org/10.5281/zenodo.14929323</w:t>
        </w:r>
      </w:hyperlink>
      <w:r w:rsidR="009E18B1" w:rsidRPr="00475FA2">
        <w:rPr>
          <w:sz w:val="20"/>
          <w:szCs w:val="20"/>
          <w:lang w:val="en-IN"/>
        </w:rPr>
        <w:t xml:space="preserve"> </w:t>
      </w:r>
    </w:p>
    <w:p w14:paraId="1C0924B9" w14:textId="3A27481A"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(2025). Empirical Study of Home Equity Credit With Special Reference to Union Bank of India. Zenodo. </w:t>
      </w:r>
      <w:hyperlink r:id="rId93" w:history="1">
        <w:r w:rsidR="009E18B1" w:rsidRPr="00475FA2">
          <w:rPr>
            <w:rStyle w:val="Hyperlink"/>
            <w:sz w:val="20"/>
            <w:szCs w:val="20"/>
            <w:lang w:val="en-IN"/>
          </w:rPr>
          <w:t>https://doi.org/10.5281/zenodo.14929337</w:t>
        </w:r>
      </w:hyperlink>
      <w:r w:rsidR="009E18B1" w:rsidRPr="00475FA2">
        <w:rPr>
          <w:sz w:val="20"/>
          <w:szCs w:val="20"/>
          <w:lang w:val="en-IN"/>
        </w:rPr>
        <w:t xml:space="preserve"> </w:t>
      </w:r>
    </w:p>
    <w:p w14:paraId="25D27C57" w14:textId="4A8B439A"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lastRenderedPageBreak/>
        <w:t xml:space="preserve">KAAKANDIKAR, D. R. (2025). A Study of Asset and Liability Management With Reference To Dytech Engineering (India) PVT. LTD. Zenodo. </w:t>
      </w:r>
      <w:hyperlink r:id="rId94" w:history="1">
        <w:r w:rsidR="009E18B1" w:rsidRPr="00475FA2">
          <w:rPr>
            <w:rStyle w:val="Hyperlink"/>
            <w:sz w:val="20"/>
            <w:szCs w:val="20"/>
            <w:lang w:val="en-IN"/>
          </w:rPr>
          <w:t>https://doi.org/10.5281/zenodo.14929381</w:t>
        </w:r>
      </w:hyperlink>
      <w:r w:rsidR="009E18B1" w:rsidRPr="00475FA2">
        <w:rPr>
          <w:sz w:val="20"/>
          <w:szCs w:val="20"/>
          <w:lang w:val="en-IN"/>
        </w:rPr>
        <w:t xml:space="preserve"> </w:t>
      </w:r>
    </w:p>
    <w:p w14:paraId="7B421870" w14:textId="2E63BD35" w:rsidR="00A42A41" w:rsidRPr="00475FA2" w:rsidRDefault="00A42A41" w:rsidP="00475FA2">
      <w:pPr>
        <w:pStyle w:val="ListParagraph"/>
        <w:numPr>
          <w:ilvl w:val="0"/>
          <w:numId w:val="13"/>
        </w:numPr>
        <w:spacing w:before="120" w:line="276" w:lineRule="auto"/>
        <w:ind w:left="360"/>
        <w:rPr>
          <w:sz w:val="20"/>
          <w:szCs w:val="20"/>
          <w:lang w:val="en-IN"/>
        </w:rPr>
      </w:pPr>
      <w:r w:rsidRPr="00475FA2">
        <w:rPr>
          <w:sz w:val="20"/>
          <w:szCs w:val="20"/>
          <w:lang w:val="en-IN"/>
        </w:rPr>
        <w:t xml:space="preserve">KAAKANDIKAR, D. R. (2025). Fintech, and Blockchains Trends in The Financial Sector. Zenodo. </w:t>
      </w:r>
      <w:hyperlink r:id="rId95" w:history="1">
        <w:r w:rsidR="009E18B1" w:rsidRPr="00475FA2">
          <w:rPr>
            <w:rStyle w:val="Hyperlink"/>
            <w:sz w:val="20"/>
            <w:szCs w:val="20"/>
            <w:lang w:val="en-IN"/>
          </w:rPr>
          <w:t>https://doi.org/10.5281/zenodo.14929399</w:t>
        </w:r>
      </w:hyperlink>
      <w:r w:rsidR="009E18B1" w:rsidRPr="00475FA2">
        <w:rPr>
          <w:sz w:val="20"/>
          <w:szCs w:val="20"/>
          <w:lang w:val="en-IN"/>
        </w:rPr>
        <w:t xml:space="preserve"> </w:t>
      </w:r>
      <w:r w:rsidRPr="00475FA2">
        <w:rPr>
          <w:sz w:val="20"/>
          <w:szCs w:val="20"/>
          <w:lang w:val="en-IN"/>
        </w:rPr>
        <w:t>.</w:t>
      </w:r>
    </w:p>
    <w:sectPr w:rsidR="00A42A41" w:rsidRPr="00475FA2" w:rsidSect="00475FA2">
      <w:type w:val="continuous"/>
      <w:pgSz w:w="12240" w:h="15840" w:code="1"/>
      <w:pgMar w:top="1440" w:right="1440" w:bottom="1440" w:left="1440" w:header="706" w:footer="706" w:gutter="0"/>
      <w:cols w:num="2"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7E046" w14:textId="77777777" w:rsidR="00FF4F27" w:rsidRDefault="00FF4F27">
      <w:r>
        <w:separator/>
      </w:r>
    </w:p>
  </w:endnote>
  <w:endnote w:type="continuationSeparator" w:id="0">
    <w:p w14:paraId="2CE172F2" w14:textId="77777777" w:rsidR="00FF4F27" w:rsidRDefault="00FF4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249432"/>
      <w:docPartObj>
        <w:docPartGallery w:val="Page Numbers (Bottom of Page)"/>
        <w:docPartUnique/>
      </w:docPartObj>
    </w:sdtPr>
    <w:sdtEndPr>
      <w:rPr>
        <w:noProof/>
      </w:rPr>
    </w:sdtEndPr>
    <w:sdtContent>
      <w:p w14:paraId="100F86F6" w14:textId="6D9AFF5A" w:rsidR="00226373" w:rsidRDefault="0022637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D300FE" w14:textId="75661B6F" w:rsidR="002D42C2" w:rsidRDefault="002D42C2">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C3597" w14:textId="77777777" w:rsidR="00FF4F27" w:rsidRDefault="00FF4F27">
      <w:r>
        <w:separator/>
      </w:r>
    </w:p>
  </w:footnote>
  <w:footnote w:type="continuationSeparator" w:id="0">
    <w:p w14:paraId="71C66837" w14:textId="77777777" w:rsidR="00FF4F27" w:rsidRDefault="00FF4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03C58" w14:textId="77777777" w:rsidR="004E0431" w:rsidRDefault="004E0431" w:rsidP="004E0431">
    <w:pPr>
      <w:pStyle w:val="BodyText"/>
      <w:spacing w:line="14" w:lineRule="auto"/>
    </w:pPr>
    <w:r>
      <w:rPr>
        <w:noProof/>
      </w:rPr>
      <mc:AlternateContent>
        <mc:Choice Requires="wps">
          <w:drawing>
            <wp:anchor distT="0" distB="0" distL="0" distR="0" simplePos="0" relativeHeight="251547648" behindDoc="1" locked="0" layoutInCell="1" allowOverlap="1" wp14:anchorId="7B4C571D" wp14:editId="3AB6E6ED">
              <wp:simplePos x="0" y="0"/>
              <wp:positionH relativeFrom="page">
                <wp:posOffset>615950</wp:posOffset>
              </wp:positionH>
              <wp:positionV relativeFrom="page">
                <wp:posOffset>457200</wp:posOffset>
              </wp:positionV>
              <wp:extent cx="6211570" cy="6350"/>
              <wp:effectExtent l="0" t="0" r="0" b="0"/>
              <wp:wrapNone/>
              <wp:docPr id="1761410533"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1570" cy="6350"/>
                      </a:xfrm>
                      <a:custGeom>
                        <a:avLst/>
                        <a:gdLst/>
                        <a:ahLst/>
                        <a:cxnLst/>
                        <a:rect l="l" t="t" r="r" b="b"/>
                        <a:pathLst>
                          <a:path w="6211570" h="6350">
                            <a:moveTo>
                              <a:pt x="6211570" y="0"/>
                            </a:moveTo>
                            <a:lnTo>
                              <a:pt x="5138674" y="0"/>
                            </a:lnTo>
                            <a:lnTo>
                              <a:pt x="5132578" y="0"/>
                            </a:lnTo>
                            <a:lnTo>
                              <a:pt x="0" y="0"/>
                            </a:lnTo>
                            <a:lnTo>
                              <a:pt x="0" y="6096"/>
                            </a:lnTo>
                            <a:lnTo>
                              <a:pt x="5132578" y="6096"/>
                            </a:lnTo>
                            <a:lnTo>
                              <a:pt x="5138674" y="6096"/>
                            </a:lnTo>
                            <a:lnTo>
                              <a:pt x="6211570" y="6096"/>
                            </a:lnTo>
                            <a:lnTo>
                              <a:pt x="621157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C20AF1F" id="Freeform: Shape 5" o:spid="_x0000_s1026" style="position:absolute;margin-left:48.5pt;margin-top:36pt;width:489.1pt;height:.5pt;z-index:-2517688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62115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" path="m6211570,l5138674,r-6096,l,,,6096r5132578,l5138674,6096r1072896,l6211570,xe" fillcolor="black" stroked="f">
              <v:path arrowok="t"/>
              <w10:wrap anchorx="page" anchory="page"/>
            </v:shape>
          </w:pict>
        </mc:Fallback>
      </mc:AlternateContent>
    </w:r>
    <w:r>
      <w:rPr>
        <w:noProof/>
      </w:rPr>
      <mc:AlternateContent>
        <mc:Choice Requires="wps">
          <w:drawing>
            <wp:anchor distT="0" distB="0" distL="0" distR="0" simplePos="0" relativeHeight="251579392" behindDoc="1" locked="0" layoutInCell="1" allowOverlap="1" wp14:anchorId="15C5E173" wp14:editId="6366B9F7">
              <wp:simplePos x="0" y="0"/>
              <wp:positionH relativeFrom="page">
                <wp:posOffset>606425</wp:posOffset>
              </wp:positionH>
              <wp:positionV relativeFrom="page">
                <wp:posOffset>1562100</wp:posOffset>
              </wp:positionV>
              <wp:extent cx="6221095" cy="6350"/>
              <wp:effectExtent l="0" t="0" r="0" b="0"/>
              <wp:wrapNone/>
              <wp:docPr id="914726513"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1095" cy="6350"/>
                      </a:xfrm>
                      <a:custGeom>
                        <a:avLst/>
                        <a:gdLst/>
                        <a:ahLst/>
                        <a:cxnLst/>
                        <a:rect l="l" t="t" r="r" b="b"/>
                        <a:pathLst>
                          <a:path w="6221095" h="6350">
                            <a:moveTo>
                              <a:pt x="6220714" y="0"/>
                            </a:moveTo>
                            <a:lnTo>
                              <a:pt x="5141722" y="0"/>
                            </a:lnTo>
                            <a:lnTo>
                              <a:pt x="5138674" y="0"/>
                            </a:lnTo>
                            <a:lnTo>
                              <a:pt x="5132578" y="0"/>
                            </a:lnTo>
                            <a:lnTo>
                              <a:pt x="0" y="0"/>
                            </a:lnTo>
                            <a:lnTo>
                              <a:pt x="0" y="6096"/>
                            </a:lnTo>
                            <a:lnTo>
                              <a:pt x="5132578" y="6096"/>
                            </a:lnTo>
                            <a:lnTo>
                              <a:pt x="5138674" y="6096"/>
                            </a:lnTo>
                            <a:lnTo>
                              <a:pt x="5141722" y="6096"/>
                            </a:lnTo>
                            <a:lnTo>
                              <a:pt x="6220714" y="6096"/>
                            </a:lnTo>
                            <a:lnTo>
                              <a:pt x="622071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5754DCC" id="Freeform: Shape 3" o:spid="_x0000_s1026" style="position:absolute;margin-left:47.75pt;margin-top:123pt;width:489.85pt;height:.5pt;z-index:-2517370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62210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" path="m6220714,l5141722,r-3048,l5132578,,,,,6096r5132578,l5138674,6096r3048,l6220714,6096r,-6096xe" fillcolor="black" stroked="f">
              <v:path arrowok="t"/>
              <w10:wrap anchorx="page" anchory="page"/>
            </v:shape>
          </w:pict>
        </mc:Fallback>
      </mc:AlternateContent>
    </w:r>
  </w:p>
  <w:p w14:paraId="7907EDB5" w14:textId="77777777" w:rsidR="004E0431" w:rsidRDefault="004E0431" w:rsidP="004E0431">
    <w:pPr>
      <w:pStyle w:val="Header"/>
    </w:pPr>
  </w:p>
  <w:tbl>
    <w:tblPr>
      <w:tblStyle w:val="TableGrid"/>
      <w:tblW w:w="9720" w:type="dxa"/>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0"/>
      <w:gridCol w:w="1620"/>
    </w:tblGrid>
    <w:tr w:rsidR="004E0431" w14:paraId="5A22E7EA" w14:textId="77777777" w:rsidTr="00CB707B">
      <w:tc>
        <w:tcPr>
          <w:tcW w:w="8100" w:type="dxa"/>
        </w:tcPr>
        <w:p w14:paraId="40372EC4" w14:textId="77777777" w:rsidR="004E0431" w:rsidRPr="00140504" w:rsidRDefault="004E0431" w:rsidP="004E0431">
          <w:pPr>
            <w:pStyle w:val="Header"/>
            <w:tabs>
              <w:tab w:val="clear" w:pos="4513"/>
              <w:tab w:val="clear" w:pos="9026"/>
              <w:tab w:val="left" w:pos="2108"/>
            </w:tabs>
            <w:jc w:val="center"/>
            <w:rPr>
              <w:sz w:val="32"/>
              <w:szCs w:val="32"/>
            </w:rPr>
          </w:pPr>
          <w:bookmarkStart w:id="0" w:name="_Hlk195785782"/>
          <w:r w:rsidRPr="00140504">
            <w:rPr>
              <w:sz w:val="32"/>
              <w:szCs w:val="32"/>
            </w:rPr>
            <w:t>Economic Sciences</w:t>
          </w:r>
        </w:p>
        <w:p w14:paraId="2009F257" w14:textId="77777777" w:rsidR="004E0431" w:rsidRPr="00AB0354" w:rsidRDefault="004E0431" w:rsidP="004E0431">
          <w:pPr>
            <w:pStyle w:val="Header"/>
            <w:tabs>
              <w:tab w:val="clear" w:pos="4513"/>
              <w:tab w:val="clear" w:pos="9026"/>
              <w:tab w:val="left" w:pos="2108"/>
            </w:tabs>
            <w:jc w:val="center"/>
          </w:pPr>
          <w:r w:rsidRPr="00AB0354">
            <w:rPr>
              <w:rStyle w:val="Hyperlink"/>
            </w:rPr>
            <w:t xml:space="preserve">https://economic-sciences.com </w:t>
          </w:r>
        </w:p>
        <w:p w14:paraId="38A2C4FA" w14:textId="124CF7B6" w:rsidR="004E0431" w:rsidRPr="008D5F86" w:rsidRDefault="004E0431" w:rsidP="004E0431">
          <w:pPr>
            <w:spacing w:before="122"/>
            <w:ind w:left="1" w:right="1"/>
            <w:jc w:val="center"/>
            <w:rPr>
              <w:spacing w:val="-3"/>
            </w:rPr>
          </w:pPr>
          <w:r w:rsidRPr="00140504">
            <w:t>ES</w:t>
          </w:r>
          <w:r w:rsidRPr="00140504">
            <w:rPr>
              <w:spacing w:val="-5"/>
            </w:rPr>
            <w:t xml:space="preserve"> </w:t>
          </w:r>
          <w:r w:rsidRPr="00140504">
            <w:t>(202</w:t>
          </w:r>
          <w:r>
            <w:t>5</w:t>
          </w:r>
          <w:r w:rsidRPr="00140504">
            <w:t>)</w:t>
          </w:r>
          <w:r w:rsidRPr="00140504">
            <w:rPr>
              <w:spacing w:val="-3"/>
            </w:rPr>
            <w:t xml:space="preserve"> </w:t>
          </w:r>
          <w:r>
            <w:rPr>
              <w:spacing w:val="-3"/>
            </w:rPr>
            <w:t>21</w:t>
          </w:r>
          <w:r w:rsidRPr="00140504">
            <w:t>(</w:t>
          </w:r>
          <w:r>
            <w:t>1</w:t>
          </w:r>
          <w:r w:rsidRPr="00140504">
            <w:t>),</w:t>
          </w:r>
          <w:r w:rsidRPr="00140504">
            <w:rPr>
              <w:spacing w:val="-3"/>
            </w:rPr>
            <w:t xml:space="preserve"> </w:t>
          </w:r>
          <w:r>
            <w:rPr>
              <w:spacing w:val="-3"/>
            </w:rPr>
            <w:t>6</w:t>
          </w:r>
          <w:r w:rsidR="00226373">
            <w:rPr>
              <w:spacing w:val="-3"/>
            </w:rPr>
            <w:t>66</w:t>
          </w:r>
          <w:r w:rsidRPr="00140504">
            <w:t>-</w:t>
          </w:r>
          <w:r>
            <w:t>6</w:t>
          </w:r>
          <w:r w:rsidR="00075F3A">
            <w:t>89</w:t>
          </w:r>
          <w:r w:rsidRPr="00140504">
            <w:rPr>
              <w:spacing w:val="-4"/>
            </w:rPr>
            <w:t xml:space="preserve"> </w:t>
          </w:r>
          <w:r w:rsidRPr="00140504">
            <w:t>|</w:t>
          </w:r>
          <w:r w:rsidRPr="00140504">
            <w:rPr>
              <w:spacing w:val="-7"/>
            </w:rPr>
            <w:t xml:space="preserve"> </w:t>
          </w:r>
          <w:r>
            <w:rPr>
              <w:spacing w:val="-7"/>
            </w:rPr>
            <w:t>ISSN</w:t>
          </w:r>
          <w:r w:rsidRPr="00140504">
            <w:t>:</w:t>
          </w:r>
          <w:r>
            <w:t>1505</w:t>
          </w:r>
          <w:r w:rsidRPr="00140504">
            <w:t>-</w:t>
          </w:r>
          <w:r>
            <w:t>4683</w:t>
          </w:r>
        </w:p>
        <w:p w14:paraId="576B8EB3" w14:textId="77777777" w:rsidR="004E0431" w:rsidRDefault="004E0431" w:rsidP="004E0431">
          <w:pPr>
            <w:pStyle w:val="Header"/>
          </w:pPr>
          <w:r>
            <w:rPr>
              <w:noProof/>
            </w:rPr>
            <mc:AlternateContent>
              <mc:Choice Requires="wps">
                <w:drawing>
                  <wp:anchor distT="0" distB="0" distL="0" distR="0" simplePos="0" relativeHeight="251611136" behindDoc="1" locked="0" layoutInCell="1" allowOverlap="1" wp14:anchorId="76F9139E" wp14:editId="4C727AE6">
                    <wp:simplePos x="0" y="0"/>
                    <wp:positionH relativeFrom="page">
                      <wp:posOffset>64135</wp:posOffset>
                    </wp:positionH>
                    <wp:positionV relativeFrom="page">
                      <wp:posOffset>635</wp:posOffset>
                    </wp:positionV>
                    <wp:extent cx="4916170" cy="793115"/>
                    <wp:effectExtent l="0" t="0" r="0" b="0"/>
                    <wp:wrapNone/>
                    <wp:docPr id="778103985"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16170" cy="793115"/>
                            </a:xfrm>
                            <a:custGeom>
                              <a:avLst/>
                              <a:gdLst/>
                              <a:ahLst/>
                              <a:cxnLst/>
                              <a:rect l="l" t="t" r="r" b="b"/>
                              <a:pathLst>
                                <a:path w="4916170" h="793115">
                                  <a:moveTo>
                                    <a:pt x="4916170" y="0"/>
                                  </a:moveTo>
                                  <a:lnTo>
                                    <a:pt x="0" y="0"/>
                                  </a:lnTo>
                                  <a:lnTo>
                                    <a:pt x="0" y="793115"/>
                                  </a:lnTo>
                                  <a:lnTo>
                                    <a:pt x="4916170" y="793115"/>
                                  </a:lnTo>
                                  <a:lnTo>
                                    <a:pt x="4916170" y="0"/>
                                  </a:lnTo>
                                  <a:close/>
                                </a:path>
                              </a:pathLst>
                            </a:custGeom>
                            <a:solidFill>
                              <a:srgbClr val="D6D6D6"/>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09A56F7" id="Freeform: Shape 1" o:spid="_x0000_s1026" style="position:absolute;margin-left:5.05pt;margin-top:.05pt;width:387.1pt;height:62.45pt;z-index:-2517053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916170,793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" path="m4916170,l,,,793115r4916170,l4916170,xe" fillcolor="#d6d6d6" stroked="f">
                    <v:path arrowok="t"/>
                    <w10:wrap anchorx="page" anchory="page"/>
                  </v:shape>
                </w:pict>
              </mc:Fallback>
            </mc:AlternateContent>
          </w:r>
        </w:p>
      </w:tc>
      <w:tc>
        <w:tcPr>
          <w:tcW w:w="1620" w:type="dxa"/>
        </w:tcPr>
        <w:p w14:paraId="544E47BC" w14:textId="77777777" w:rsidR="004E0431" w:rsidRDefault="004E0431" w:rsidP="004E0431">
          <w:pPr>
            <w:pStyle w:val="Header"/>
            <w:jc w:val="right"/>
          </w:pPr>
          <w:r>
            <w:rPr>
              <w:noProof/>
              <w:lang w:eastAsia="en-IN"/>
            </w:rPr>
            <w:drawing>
              <wp:inline distT="0" distB="0" distL="0" distR="0" wp14:anchorId="5EE1B5F9" wp14:editId="140F0B4B">
                <wp:extent cx="639041" cy="876300"/>
                <wp:effectExtent l="0" t="0" r="8890" b="0"/>
                <wp:docPr id="15760331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1968" cy="921452"/>
                        </a:xfrm>
                        <a:prstGeom prst="rect">
                          <a:avLst/>
                        </a:prstGeom>
                        <a:noFill/>
                        <a:ln>
                          <a:noFill/>
                        </a:ln>
                      </pic:spPr>
                    </pic:pic>
                  </a:graphicData>
                </a:graphic>
              </wp:inline>
            </w:drawing>
          </w:r>
        </w:p>
      </w:tc>
    </w:tr>
    <w:bookmarkEnd w:id="0"/>
  </w:tbl>
  <w:p w14:paraId="0827D613" w14:textId="77777777" w:rsidR="004E0431" w:rsidRDefault="004E0431" w:rsidP="004E0431">
    <w:pPr>
      <w:pStyle w:val="Header"/>
    </w:pPr>
  </w:p>
  <w:p w14:paraId="1469DE34" w14:textId="59E96CDE" w:rsidR="002D42C2" w:rsidRDefault="002D42C2">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5320"/>
    <w:multiLevelType w:val="hybridMultilevel"/>
    <w:tmpl w:val="980466FE"/>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035227D"/>
    <w:multiLevelType w:val="hybridMultilevel"/>
    <w:tmpl w:val="7B54D8EE"/>
    <w:lvl w:ilvl="0" w:tplc="4009000F">
      <w:start w:val="1"/>
      <w:numFmt w:val="decimal"/>
      <w:lvlText w:val="%1."/>
      <w:lvlJc w:val="left"/>
      <w:pPr>
        <w:ind w:left="2160" w:hanging="360"/>
      </w:pPr>
    </w:lvl>
    <w:lvl w:ilvl="1" w:tplc="40090019" w:tentative="1">
      <w:start w:val="1"/>
      <w:numFmt w:val="lowerLetter"/>
      <w:lvlText w:val="%2."/>
      <w:lvlJc w:val="left"/>
      <w:pPr>
        <w:ind w:left="2880" w:hanging="360"/>
      </w:pPr>
    </w:lvl>
    <w:lvl w:ilvl="2" w:tplc="4009001B" w:tentative="1">
      <w:start w:val="1"/>
      <w:numFmt w:val="lowerRoman"/>
      <w:lvlText w:val="%3."/>
      <w:lvlJc w:val="right"/>
      <w:pPr>
        <w:ind w:left="3600" w:hanging="180"/>
      </w:pPr>
    </w:lvl>
    <w:lvl w:ilvl="3" w:tplc="4009000F" w:tentative="1">
      <w:start w:val="1"/>
      <w:numFmt w:val="decimal"/>
      <w:lvlText w:val="%4."/>
      <w:lvlJc w:val="left"/>
      <w:pPr>
        <w:ind w:left="4320" w:hanging="360"/>
      </w:pPr>
    </w:lvl>
    <w:lvl w:ilvl="4" w:tplc="40090019" w:tentative="1">
      <w:start w:val="1"/>
      <w:numFmt w:val="lowerLetter"/>
      <w:lvlText w:val="%5."/>
      <w:lvlJc w:val="left"/>
      <w:pPr>
        <w:ind w:left="5040" w:hanging="360"/>
      </w:pPr>
    </w:lvl>
    <w:lvl w:ilvl="5" w:tplc="4009001B" w:tentative="1">
      <w:start w:val="1"/>
      <w:numFmt w:val="lowerRoman"/>
      <w:lvlText w:val="%6."/>
      <w:lvlJc w:val="right"/>
      <w:pPr>
        <w:ind w:left="5760" w:hanging="180"/>
      </w:pPr>
    </w:lvl>
    <w:lvl w:ilvl="6" w:tplc="4009000F" w:tentative="1">
      <w:start w:val="1"/>
      <w:numFmt w:val="decimal"/>
      <w:lvlText w:val="%7."/>
      <w:lvlJc w:val="left"/>
      <w:pPr>
        <w:ind w:left="6480" w:hanging="360"/>
      </w:pPr>
    </w:lvl>
    <w:lvl w:ilvl="7" w:tplc="40090019" w:tentative="1">
      <w:start w:val="1"/>
      <w:numFmt w:val="lowerLetter"/>
      <w:lvlText w:val="%8."/>
      <w:lvlJc w:val="left"/>
      <w:pPr>
        <w:ind w:left="7200" w:hanging="360"/>
      </w:pPr>
    </w:lvl>
    <w:lvl w:ilvl="8" w:tplc="4009001B" w:tentative="1">
      <w:start w:val="1"/>
      <w:numFmt w:val="lowerRoman"/>
      <w:lvlText w:val="%9."/>
      <w:lvlJc w:val="right"/>
      <w:pPr>
        <w:ind w:left="7920" w:hanging="180"/>
      </w:pPr>
    </w:lvl>
  </w:abstractNum>
  <w:abstractNum w:abstractNumId="2" w15:restartNumberingAfterBreak="0">
    <w:nsid w:val="1D086AE9"/>
    <w:multiLevelType w:val="multilevel"/>
    <w:tmpl w:val="505A1A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8F5757"/>
    <w:multiLevelType w:val="hybridMultilevel"/>
    <w:tmpl w:val="DDE2DA16"/>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9060BE7"/>
    <w:multiLevelType w:val="hybridMultilevel"/>
    <w:tmpl w:val="8F7ADD2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35C32BE4"/>
    <w:multiLevelType w:val="hybridMultilevel"/>
    <w:tmpl w:val="06065894"/>
    <w:lvl w:ilvl="0" w:tplc="B096147A">
      <w:start w:val="1"/>
      <w:numFmt w:val="upperRoman"/>
      <w:lvlText w:val="%1."/>
      <w:lvlJc w:val="left"/>
      <w:pPr>
        <w:ind w:left="2161" w:hanging="721"/>
        <w:jc w:val="right"/>
      </w:pPr>
      <w:rPr>
        <w:rFonts w:ascii="Times New Roman" w:eastAsia="Times New Roman" w:hAnsi="Times New Roman" w:cs="Times New Roman" w:hint="default"/>
        <w:b/>
        <w:bCs/>
        <w:i w:val="0"/>
        <w:iCs w:val="0"/>
        <w:spacing w:val="0"/>
        <w:w w:val="100"/>
        <w:sz w:val="20"/>
        <w:szCs w:val="20"/>
        <w:lang w:val="en-US" w:eastAsia="en-US" w:bidi="ar-SA"/>
      </w:rPr>
    </w:lvl>
    <w:lvl w:ilvl="1" w:tplc="F4A2AAAA">
      <w:start w:val="1"/>
      <w:numFmt w:val="decimal"/>
      <w:lvlText w:val="%2."/>
      <w:lvlJc w:val="left"/>
      <w:pPr>
        <w:ind w:left="1396" w:hanging="360"/>
        <w:jc w:val="right"/>
      </w:pPr>
      <w:rPr>
        <w:rFonts w:hint="default"/>
        <w:spacing w:val="0"/>
        <w:w w:val="100"/>
        <w:lang w:val="en-US" w:eastAsia="en-US" w:bidi="ar-SA"/>
      </w:rPr>
    </w:lvl>
    <w:lvl w:ilvl="2" w:tplc="C526EB92">
      <w:numFmt w:val="bullet"/>
      <w:lvlText w:val=""/>
      <w:lvlJc w:val="left"/>
      <w:pPr>
        <w:ind w:left="1400" w:hanging="360"/>
      </w:pPr>
      <w:rPr>
        <w:rFonts w:ascii="Symbol" w:eastAsia="Symbol" w:hAnsi="Symbol" w:cs="Symbol" w:hint="default"/>
        <w:b w:val="0"/>
        <w:bCs w:val="0"/>
        <w:i w:val="0"/>
        <w:iCs w:val="0"/>
        <w:spacing w:val="0"/>
        <w:w w:val="100"/>
        <w:sz w:val="20"/>
        <w:szCs w:val="20"/>
        <w:lang w:val="en-US" w:eastAsia="en-US" w:bidi="ar-SA"/>
      </w:rPr>
    </w:lvl>
    <w:lvl w:ilvl="3" w:tplc="D1FC6C04">
      <w:numFmt w:val="bullet"/>
      <w:lvlText w:val=""/>
      <w:lvlJc w:val="left"/>
      <w:pPr>
        <w:ind w:left="2161" w:hanging="360"/>
      </w:pPr>
      <w:rPr>
        <w:rFonts w:ascii="Symbol" w:eastAsia="Symbol" w:hAnsi="Symbol" w:cs="Symbol" w:hint="default"/>
        <w:b w:val="0"/>
        <w:bCs w:val="0"/>
        <w:i w:val="0"/>
        <w:iCs w:val="0"/>
        <w:spacing w:val="0"/>
        <w:w w:val="100"/>
        <w:sz w:val="20"/>
        <w:szCs w:val="20"/>
        <w:lang w:val="en-US" w:eastAsia="en-US" w:bidi="ar-SA"/>
      </w:rPr>
    </w:lvl>
    <w:lvl w:ilvl="4" w:tplc="36ACBB54">
      <w:numFmt w:val="bullet"/>
      <w:lvlText w:val="•"/>
      <w:lvlJc w:val="left"/>
      <w:pPr>
        <w:ind w:left="1424" w:hanging="360"/>
      </w:pPr>
      <w:rPr>
        <w:rFonts w:hint="default"/>
        <w:lang w:val="en-US" w:eastAsia="en-US" w:bidi="ar-SA"/>
      </w:rPr>
    </w:lvl>
    <w:lvl w:ilvl="5" w:tplc="070A556E">
      <w:numFmt w:val="bullet"/>
      <w:lvlText w:val="•"/>
      <w:lvlJc w:val="left"/>
      <w:pPr>
        <w:ind w:left="1179" w:hanging="360"/>
      </w:pPr>
      <w:rPr>
        <w:rFonts w:hint="default"/>
        <w:lang w:val="en-US" w:eastAsia="en-US" w:bidi="ar-SA"/>
      </w:rPr>
    </w:lvl>
    <w:lvl w:ilvl="6" w:tplc="E0CEE45A">
      <w:numFmt w:val="bullet"/>
      <w:lvlText w:val="•"/>
      <w:lvlJc w:val="left"/>
      <w:pPr>
        <w:ind w:left="934" w:hanging="360"/>
      </w:pPr>
      <w:rPr>
        <w:rFonts w:hint="default"/>
        <w:lang w:val="en-US" w:eastAsia="en-US" w:bidi="ar-SA"/>
      </w:rPr>
    </w:lvl>
    <w:lvl w:ilvl="7" w:tplc="DB5631D4">
      <w:numFmt w:val="bullet"/>
      <w:lvlText w:val="•"/>
      <w:lvlJc w:val="left"/>
      <w:pPr>
        <w:ind w:left="689" w:hanging="360"/>
      </w:pPr>
      <w:rPr>
        <w:rFonts w:hint="default"/>
        <w:lang w:val="en-US" w:eastAsia="en-US" w:bidi="ar-SA"/>
      </w:rPr>
    </w:lvl>
    <w:lvl w:ilvl="8" w:tplc="F064BA00">
      <w:numFmt w:val="bullet"/>
      <w:lvlText w:val="•"/>
      <w:lvlJc w:val="left"/>
      <w:pPr>
        <w:ind w:left="444" w:hanging="360"/>
      </w:pPr>
      <w:rPr>
        <w:rFonts w:hint="default"/>
        <w:lang w:val="en-US" w:eastAsia="en-US" w:bidi="ar-SA"/>
      </w:rPr>
    </w:lvl>
  </w:abstractNum>
  <w:abstractNum w:abstractNumId="6" w15:restartNumberingAfterBreak="0">
    <w:nsid w:val="372372F5"/>
    <w:multiLevelType w:val="hybridMultilevel"/>
    <w:tmpl w:val="D322400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3BFB3A3A"/>
    <w:multiLevelType w:val="hybridMultilevel"/>
    <w:tmpl w:val="09D2295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56B52B07"/>
    <w:multiLevelType w:val="hybridMultilevel"/>
    <w:tmpl w:val="C6CC2F9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5FDC53E2"/>
    <w:multiLevelType w:val="hybridMultilevel"/>
    <w:tmpl w:val="B2A4D2E0"/>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0" w15:restartNumberingAfterBreak="0">
    <w:nsid w:val="702931A8"/>
    <w:multiLevelType w:val="hybridMultilevel"/>
    <w:tmpl w:val="12164372"/>
    <w:lvl w:ilvl="0" w:tplc="FC7E235E">
      <w:start w:val="1"/>
      <w:numFmt w:val="lowerLetter"/>
      <w:lvlText w:val="%1)"/>
      <w:lvlJc w:val="left"/>
      <w:pPr>
        <w:ind w:left="1400" w:hanging="360"/>
        <w:jc w:val="right"/>
      </w:pPr>
      <w:rPr>
        <w:rFonts w:ascii="Times New Roman" w:eastAsia="Times New Roman" w:hAnsi="Times New Roman" w:cs="Times New Roman" w:hint="default"/>
        <w:b/>
        <w:bCs/>
        <w:i w:val="0"/>
        <w:iCs w:val="0"/>
        <w:spacing w:val="-3"/>
        <w:w w:val="100"/>
        <w:sz w:val="20"/>
        <w:szCs w:val="20"/>
        <w:lang w:val="en-US" w:eastAsia="en-US" w:bidi="ar-SA"/>
      </w:rPr>
    </w:lvl>
    <w:lvl w:ilvl="1" w:tplc="6B7CCE2E">
      <w:numFmt w:val="bullet"/>
      <w:lvlText w:val="•"/>
      <w:lvlJc w:val="left"/>
      <w:pPr>
        <w:ind w:left="1903" w:hanging="360"/>
      </w:pPr>
      <w:rPr>
        <w:rFonts w:hint="default"/>
        <w:lang w:val="en-US" w:eastAsia="en-US" w:bidi="ar-SA"/>
      </w:rPr>
    </w:lvl>
    <w:lvl w:ilvl="2" w:tplc="3260172C">
      <w:numFmt w:val="bullet"/>
      <w:lvlText w:val="•"/>
      <w:lvlJc w:val="left"/>
      <w:pPr>
        <w:ind w:left="2407" w:hanging="360"/>
      </w:pPr>
      <w:rPr>
        <w:rFonts w:hint="default"/>
        <w:lang w:val="en-US" w:eastAsia="en-US" w:bidi="ar-SA"/>
      </w:rPr>
    </w:lvl>
    <w:lvl w:ilvl="3" w:tplc="78F49966">
      <w:numFmt w:val="bullet"/>
      <w:lvlText w:val="•"/>
      <w:lvlJc w:val="left"/>
      <w:pPr>
        <w:ind w:left="2911" w:hanging="360"/>
      </w:pPr>
      <w:rPr>
        <w:rFonts w:hint="default"/>
        <w:lang w:val="en-US" w:eastAsia="en-US" w:bidi="ar-SA"/>
      </w:rPr>
    </w:lvl>
    <w:lvl w:ilvl="4" w:tplc="661A62D2">
      <w:numFmt w:val="bullet"/>
      <w:lvlText w:val="•"/>
      <w:lvlJc w:val="left"/>
      <w:pPr>
        <w:ind w:left="3415" w:hanging="360"/>
      </w:pPr>
      <w:rPr>
        <w:rFonts w:hint="default"/>
        <w:lang w:val="en-US" w:eastAsia="en-US" w:bidi="ar-SA"/>
      </w:rPr>
    </w:lvl>
    <w:lvl w:ilvl="5" w:tplc="80BE5B1E">
      <w:numFmt w:val="bullet"/>
      <w:lvlText w:val="•"/>
      <w:lvlJc w:val="left"/>
      <w:pPr>
        <w:ind w:left="3918" w:hanging="360"/>
      </w:pPr>
      <w:rPr>
        <w:rFonts w:hint="default"/>
        <w:lang w:val="en-US" w:eastAsia="en-US" w:bidi="ar-SA"/>
      </w:rPr>
    </w:lvl>
    <w:lvl w:ilvl="6" w:tplc="1BC255A4">
      <w:numFmt w:val="bullet"/>
      <w:lvlText w:val="•"/>
      <w:lvlJc w:val="left"/>
      <w:pPr>
        <w:ind w:left="4422" w:hanging="360"/>
      </w:pPr>
      <w:rPr>
        <w:rFonts w:hint="default"/>
        <w:lang w:val="en-US" w:eastAsia="en-US" w:bidi="ar-SA"/>
      </w:rPr>
    </w:lvl>
    <w:lvl w:ilvl="7" w:tplc="F656F264">
      <w:numFmt w:val="bullet"/>
      <w:lvlText w:val="•"/>
      <w:lvlJc w:val="left"/>
      <w:pPr>
        <w:ind w:left="4926" w:hanging="360"/>
      </w:pPr>
      <w:rPr>
        <w:rFonts w:hint="default"/>
        <w:lang w:val="en-US" w:eastAsia="en-US" w:bidi="ar-SA"/>
      </w:rPr>
    </w:lvl>
    <w:lvl w:ilvl="8" w:tplc="B0928238">
      <w:numFmt w:val="bullet"/>
      <w:lvlText w:val="•"/>
      <w:lvlJc w:val="left"/>
      <w:pPr>
        <w:ind w:left="5429" w:hanging="360"/>
      </w:pPr>
      <w:rPr>
        <w:rFonts w:hint="default"/>
        <w:lang w:val="en-US" w:eastAsia="en-US" w:bidi="ar-SA"/>
      </w:rPr>
    </w:lvl>
  </w:abstractNum>
  <w:abstractNum w:abstractNumId="11" w15:restartNumberingAfterBreak="0">
    <w:nsid w:val="7A34655D"/>
    <w:multiLevelType w:val="hybridMultilevel"/>
    <w:tmpl w:val="F0AED0F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7B651B92"/>
    <w:multiLevelType w:val="hybridMultilevel"/>
    <w:tmpl w:val="058E5D94"/>
    <w:lvl w:ilvl="0" w:tplc="D12E79BA">
      <w:start w:val="1"/>
      <w:numFmt w:val="decimal"/>
      <w:lvlText w:val="%1."/>
      <w:lvlJc w:val="left"/>
      <w:pPr>
        <w:ind w:left="720" w:hanging="720"/>
      </w:pPr>
      <w:rPr>
        <w:rFonts w:hint="default"/>
      </w:rPr>
    </w:lvl>
    <w:lvl w:ilvl="1" w:tplc="6A00DDBA">
      <w:start w:val="1"/>
      <w:numFmt w:val="upperRoman"/>
      <w:lvlText w:val="%2."/>
      <w:lvlJc w:val="left"/>
      <w:pPr>
        <w:ind w:left="1440" w:hanging="720"/>
      </w:pPr>
      <w:rPr>
        <w:rFonts w:hint="default"/>
      </w:r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16cid:durableId="543058093">
    <w:abstractNumId w:val="10"/>
  </w:num>
  <w:num w:numId="2" w16cid:durableId="1188908641">
    <w:abstractNumId w:val="5"/>
  </w:num>
  <w:num w:numId="3" w16cid:durableId="1730032981">
    <w:abstractNumId w:val="2"/>
  </w:num>
  <w:num w:numId="4" w16cid:durableId="1075662581">
    <w:abstractNumId w:val="0"/>
  </w:num>
  <w:num w:numId="5" w16cid:durableId="970599731">
    <w:abstractNumId w:val="9"/>
  </w:num>
  <w:num w:numId="6" w16cid:durableId="562566502">
    <w:abstractNumId w:val="3"/>
  </w:num>
  <w:num w:numId="7" w16cid:durableId="931016366">
    <w:abstractNumId w:val="1"/>
  </w:num>
  <w:num w:numId="8" w16cid:durableId="1902015527">
    <w:abstractNumId w:val="8"/>
  </w:num>
  <w:num w:numId="9" w16cid:durableId="1478452700">
    <w:abstractNumId w:val="12"/>
  </w:num>
  <w:num w:numId="10" w16cid:durableId="291250799">
    <w:abstractNumId w:val="6"/>
  </w:num>
  <w:num w:numId="11" w16cid:durableId="541329607">
    <w:abstractNumId w:val="11"/>
  </w:num>
  <w:num w:numId="12" w16cid:durableId="837844737">
    <w:abstractNumId w:val="4"/>
  </w:num>
  <w:num w:numId="13" w16cid:durableId="20383862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2C2"/>
    <w:rsid w:val="0001291E"/>
    <w:rsid w:val="00036F52"/>
    <w:rsid w:val="00075F3A"/>
    <w:rsid w:val="000E22EA"/>
    <w:rsid w:val="001B58DE"/>
    <w:rsid w:val="001D5FAC"/>
    <w:rsid w:val="001D6F04"/>
    <w:rsid w:val="00226373"/>
    <w:rsid w:val="00286A5F"/>
    <w:rsid w:val="002D42C2"/>
    <w:rsid w:val="00310439"/>
    <w:rsid w:val="00391D46"/>
    <w:rsid w:val="004512F8"/>
    <w:rsid w:val="00475FA2"/>
    <w:rsid w:val="00490C6B"/>
    <w:rsid w:val="00493138"/>
    <w:rsid w:val="004E0431"/>
    <w:rsid w:val="0050156A"/>
    <w:rsid w:val="00543A7C"/>
    <w:rsid w:val="00590D33"/>
    <w:rsid w:val="0072674F"/>
    <w:rsid w:val="00737D04"/>
    <w:rsid w:val="00782F83"/>
    <w:rsid w:val="007C532E"/>
    <w:rsid w:val="008307CE"/>
    <w:rsid w:val="008563AD"/>
    <w:rsid w:val="00982BA2"/>
    <w:rsid w:val="009902EC"/>
    <w:rsid w:val="009B3576"/>
    <w:rsid w:val="009D5C28"/>
    <w:rsid w:val="009E18B1"/>
    <w:rsid w:val="00A42A41"/>
    <w:rsid w:val="00AB1F2E"/>
    <w:rsid w:val="00AD3460"/>
    <w:rsid w:val="00AF26A9"/>
    <w:rsid w:val="00B85AE6"/>
    <w:rsid w:val="00BC2511"/>
    <w:rsid w:val="00BF295B"/>
    <w:rsid w:val="00C509A1"/>
    <w:rsid w:val="00CD5BAE"/>
    <w:rsid w:val="00D02AC4"/>
    <w:rsid w:val="00D704DF"/>
    <w:rsid w:val="00E10226"/>
    <w:rsid w:val="00EB4066"/>
    <w:rsid w:val="00F27CB8"/>
    <w:rsid w:val="00F5419E"/>
    <w:rsid w:val="00F75FFD"/>
    <w:rsid w:val="00FF4F2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33E19B"/>
  <w15:docId w15:val="{B8652A4B-1B0B-4F86-90F1-8F600D662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40" w:hanging="2001"/>
      <w:outlineLvl w:val="0"/>
    </w:pPr>
    <w:rPr>
      <w:b/>
      <w:bCs/>
      <w:sz w:val="28"/>
      <w:szCs w:val="28"/>
    </w:rPr>
  </w:style>
  <w:style w:type="paragraph" w:styleId="Heading2">
    <w:name w:val="heading 2"/>
    <w:basedOn w:val="Normal"/>
    <w:uiPriority w:val="9"/>
    <w:unhideWhenUsed/>
    <w:qFormat/>
    <w:pPr>
      <w:ind w:left="2160" w:hanging="720"/>
      <w:outlineLvl w:val="1"/>
    </w:pPr>
    <w:rPr>
      <w:b/>
      <w:bCs/>
      <w:sz w:val="24"/>
      <w:szCs w:val="24"/>
    </w:rPr>
  </w:style>
  <w:style w:type="paragraph" w:styleId="Heading3">
    <w:name w:val="heading 3"/>
    <w:basedOn w:val="Normal"/>
    <w:uiPriority w:val="9"/>
    <w:unhideWhenUsed/>
    <w:qFormat/>
    <w:pPr>
      <w:ind w:left="68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92" w:line="364" w:lineRule="exact"/>
      <w:ind w:left="297" w:right="2"/>
      <w:jc w:val="center"/>
    </w:pPr>
    <w:rPr>
      <w:b/>
      <w:bCs/>
      <w:sz w:val="32"/>
      <w:szCs w:val="32"/>
    </w:rPr>
  </w:style>
  <w:style w:type="paragraph" w:styleId="ListParagraph">
    <w:name w:val="List Paragraph"/>
    <w:basedOn w:val="Normal"/>
    <w:uiPriority w:val="1"/>
    <w:qFormat/>
    <w:pPr>
      <w:ind w:left="2161" w:hanging="360"/>
      <w:jc w:val="both"/>
    </w:pPr>
  </w:style>
  <w:style w:type="paragraph" w:customStyle="1" w:styleId="TableParagraph">
    <w:name w:val="Table Paragraph"/>
    <w:basedOn w:val="Normal"/>
    <w:uiPriority w:val="1"/>
    <w:qFormat/>
  </w:style>
  <w:style w:type="paragraph" w:styleId="NormalWeb">
    <w:name w:val="Normal (Web)"/>
    <w:basedOn w:val="Normal"/>
    <w:uiPriority w:val="99"/>
    <w:unhideWhenUsed/>
    <w:rsid w:val="00C509A1"/>
    <w:pPr>
      <w:widowControl/>
      <w:autoSpaceDE/>
      <w:autoSpaceDN/>
      <w:spacing w:before="100" w:beforeAutospacing="1" w:after="100" w:afterAutospacing="1"/>
    </w:pPr>
    <w:rPr>
      <w:sz w:val="24"/>
      <w:szCs w:val="24"/>
      <w:lang w:val="en-IN" w:eastAsia="en-IN"/>
    </w:rPr>
  </w:style>
  <w:style w:type="character" w:customStyle="1" w:styleId="selected">
    <w:name w:val="selected"/>
    <w:basedOn w:val="DefaultParagraphFont"/>
    <w:rsid w:val="00C509A1"/>
  </w:style>
  <w:style w:type="paragraph" w:styleId="Header">
    <w:name w:val="header"/>
    <w:basedOn w:val="Normal"/>
    <w:link w:val="HeaderChar"/>
    <w:uiPriority w:val="99"/>
    <w:unhideWhenUsed/>
    <w:qFormat/>
    <w:rsid w:val="00A42A41"/>
    <w:pPr>
      <w:tabs>
        <w:tab w:val="center" w:pos="4513"/>
        <w:tab w:val="right" w:pos="9026"/>
      </w:tabs>
    </w:pPr>
  </w:style>
  <w:style w:type="character" w:customStyle="1" w:styleId="HeaderChar">
    <w:name w:val="Header Char"/>
    <w:basedOn w:val="DefaultParagraphFont"/>
    <w:link w:val="Header"/>
    <w:uiPriority w:val="99"/>
    <w:rsid w:val="00A42A41"/>
    <w:rPr>
      <w:rFonts w:ascii="Times New Roman" w:eastAsia="Times New Roman" w:hAnsi="Times New Roman" w:cs="Times New Roman"/>
    </w:rPr>
  </w:style>
  <w:style w:type="paragraph" w:styleId="Footer">
    <w:name w:val="footer"/>
    <w:basedOn w:val="Normal"/>
    <w:link w:val="FooterChar"/>
    <w:uiPriority w:val="99"/>
    <w:unhideWhenUsed/>
    <w:rsid w:val="00A42A41"/>
    <w:pPr>
      <w:tabs>
        <w:tab w:val="center" w:pos="4513"/>
        <w:tab w:val="right" w:pos="9026"/>
      </w:tabs>
    </w:pPr>
  </w:style>
  <w:style w:type="character" w:customStyle="1" w:styleId="FooterChar">
    <w:name w:val="Footer Char"/>
    <w:basedOn w:val="DefaultParagraphFont"/>
    <w:link w:val="Footer"/>
    <w:uiPriority w:val="99"/>
    <w:rsid w:val="00A42A41"/>
    <w:rPr>
      <w:rFonts w:ascii="Times New Roman" w:eastAsia="Times New Roman" w:hAnsi="Times New Roman" w:cs="Times New Roman"/>
    </w:rPr>
  </w:style>
  <w:style w:type="character" w:styleId="Hyperlink">
    <w:name w:val="Hyperlink"/>
    <w:basedOn w:val="DefaultParagraphFont"/>
    <w:uiPriority w:val="99"/>
    <w:unhideWhenUsed/>
    <w:rsid w:val="00F5419E"/>
    <w:rPr>
      <w:color w:val="0000FF" w:themeColor="hyperlink"/>
      <w:u w:val="single"/>
    </w:rPr>
  </w:style>
  <w:style w:type="character" w:customStyle="1" w:styleId="UnresolvedMention1">
    <w:name w:val="Unresolved Mention1"/>
    <w:basedOn w:val="DefaultParagraphFont"/>
    <w:uiPriority w:val="99"/>
    <w:semiHidden/>
    <w:unhideWhenUsed/>
    <w:rsid w:val="00F5419E"/>
    <w:rPr>
      <w:color w:val="605E5C"/>
      <w:shd w:val="clear" w:color="auto" w:fill="E1DFDD"/>
    </w:rPr>
  </w:style>
  <w:style w:type="table" w:styleId="TableGrid">
    <w:name w:val="Table Grid"/>
    <w:basedOn w:val="TableNormal"/>
    <w:uiPriority w:val="39"/>
    <w:rsid w:val="0001291E"/>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968945">
      <w:bodyDiv w:val="1"/>
      <w:marLeft w:val="0"/>
      <w:marRight w:val="0"/>
      <w:marTop w:val="0"/>
      <w:marBottom w:val="0"/>
      <w:divBdr>
        <w:top w:val="none" w:sz="0" w:space="0" w:color="auto"/>
        <w:left w:val="none" w:sz="0" w:space="0" w:color="auto"/>
        <w:bottom w:val="none" w:sz="0" w:space="0" w:color="auto"/>
        <w:right w:val="none" w:sz="0" w:space="0" w:color="auto"/>
      </w:divBdr>
    </w:div>
    <w:div w:id="1861813435">
      <w:bodyDiv w:val="1"/>
      <w:marLeft w:val="0"/>
      <w:marRight w:val="0"/>
      <w:marTop w:val="0"/>
      <w:marBottom w:val="0"/>
      <w:divBdr>
        <w:top w:val="none" w:sz="0" w:space="0" w:color="auto"/>
        <w:left w:val="none" w:sz="0" w:space="0" w:color="auto"/>
        <w:bottom w:val="none" w:sz="0" w:space="0" w:color="auto"/>
        <w:right w:val="none" w:sz="0" w:space="0" w:color="auto"/>
      </w:divBdr>
    </w:div>
    <w:div w:id="2028171746">
      <w:bodyDiv w:val="1"/>
      <w:marLeft w:val="0"/>
      <w:marRight w:val="0"/>
      <w:marTop w:val="0"/>
      <w:marBottom w:val="0"/>
      <w:divBdr>
        <w:top w:val="none" w:sz="0" w:space="0" w:color="auto"/>
        <w:left w:val="none" w:sz="0" w:space="0" w:color="auto"/>
        <w:bottom w:val="none" w:sz="0" w:space="0" w:color="auto"/>
        <w:right w:val="none" w:sz="0" w:space="0" w:color="auto"/>
      </w:divBdr>
    </w:div>
    <w:div w:id="21037998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21" Type="http://schemas.openxmlformats.org/officeDocument/2006/relationships/chart" Target="charts/chart12.xml"/><Relationship Id="rId42" Type="http://schemas.openxmlformats.org/officeDocument/2006/relationships/hyperlink" Target="https://doi.org/10.5281/zenodo.13683782" TargetMode="External"/><Relationship Id="rId47" Type="http://schemas.openxmlformats.org/officeDocument/2006/relationships/hyperlink" Target="https://doi.org/10.5281/zenodo.13683872" TargetMode="External"/><Relationship Id="rId63" Type="http://schemas.openxmlformats.org/officeDocument/2006/relationships/hyperlink" Target="https://doi.org/10.5281/zenodo.13684386" TargetMode="External"/><Relationship Id="rId68" Type="http://schemas.openxmlformats.org/officeDocument/2006/relationships/hyperlink" Target="https://journals.kozminski.cem-j.org/index.php/pl_cemj/article/view/617" TargetMode="External"/><Relationship Id="rId84" Type="http://schemas.openxmlformats.org/officeDocument/2006/relationships/hyperlink" Target="https://doi.org/10.5281/zenodo.14922683" TargetMode="External"/><Relationship Id="rId89" Type="http://schemas.openxmlformats.org/officeDocument/2006/relationships/hyperlink" Target="https://doi.org/10.5281/zenodo.14929011" TargetMode="External"/><Relationship Id="rId16" Type="http://schemas.openxmlformats.org/officeDocument/2006/relationships/chart" Target="charts/chart7.xml"/><Relationship Id="rId11" Type="http://schemas.openxmlformats.org/officeDocument/2006/relationships/chart" Target="charts/chart2.xml"/><Relationship Id="rId32" Type="http://schemas.openxmlformats.org/officeDocument/2006/relationships/hyperlink" Target="https://doi.org/10.5281/zenodo.13681608" TargetMode="External"/><Relationship Id="rId37" Type="http://schemas.openxmlformats.org/officeDocument/2006/relationships/hyperlink" Target="https://doi.org/10.5281/zenodo.13683657" TargetMode="External"/><Relationship Id="rId53" Type="http://schemas.openxmlformats.org/officeDocument/2006/relationships/hyperlink" Target="https://doi.org/10.5281/zenodo.13684121" TargetMode="External"/><Relationship Id="rId58" Type="http://schemas.openxmlformats.org/officeDocument/2006/relationships/hyperlink" Target="https://doi.org/10.5281/zenodo.13684264" TargetMode="External"/><Relationship Id="rId74" Type="http://schemas.openxmlformats.org/officeDocument/2006/relationships/hyperlink" Target="https://doi.org/10.5281/zenodo.13705463" TargetMode="External"/><Relationship Id="rId79" Type="http://schemas.openxmlformats.org/officeDocument/2006/relationships/hyperlink" Target="https://doi.org/10.5281/zenodo.13886924" TargetMode="External"/><Relationship Id="rId5" Type="http://schemas.openxmlformats.org/officeDocument/2006/relationships/webSettings" Target="webSettings.xml"/><Relationship Id="rId90" Type="http://schemas.openxmlformats.org/officeDocument/2006/relationships/hyperlink" Target="https://doi.org/10.5281/zenodo.14929071" TargetMode="External"/><Relationship Id="rId95" Type="http://schemas.openxmlformats.org/officeDocument/2006/relationships/hyperlink" Target="https://doi.org/10.5281/zenodo.14929399" TargetMode="External"/><Relationship Id="rId22" Type="http://schemas.openxmlformats.org/officeDocument/2006/relationships/chart" Target="charts/chart13.xml"/><Relationship Id="rId27" Type="http://schemas.openxmlformats.org/officeDocument/2006/relationships/image" Target="media/image4.png"/><Relationship Id="rId43" Type="http://schemas.openxmlformats.org/officeDocument/2006/relationships/hyperlink" Target="https://doi.org/10.5281/zenodo.13683791" TargetMode="External"/><Relationship Id="rId48" Type="http://schemas.openxmlformats.org/officeDocument/2006/relationships/hyperlink" Target="https://doi.org/10.5281/zenodo.13683889" TargetMode="External"/><Relationship Id="rId64" Type="http://schemas.openxmlformats.org/officeDocument/2006/relationships/hyperlink" Target="https://doi.org/10.32535/ijafap.v4i3.1208" TargetMode="External"/><Relationship Id="rId69" Type="http://schemas.openxmlformats.org/officeDocument/2006/relationships/hyperlink" Target="https://doi.org/10.1109/icacrs55517.2022.10029204" TargetMode="External"/><Relationship Id="rId80" Type="http://schemas.openxmlformats.org/officeDocument/2006/relationships/hyperlink" Target="https://doi.org/10.4018/979-8-3693-7773-4.ch007" TargetMode="External"/><Relationship Id="rId85" Type="http://schemas.openxmlformats.org/officeDocument/2006/relationships/hyperlink" Target="https://doi.org/10.5281/zenodo.14922731" TargetMode="External"/><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image" Target="media/image2.png"/><Relationship Id="rId33" Type="http://schemas.openxmlformats.org/officeDocument/2006/relationships/hyperlink" Target="https://doi.org/10.5281/zenodo.13682208" TargetMode="External"/><Relationship Id="rId38" Type="http://schemas.openxmlformats.org/officeDocument/2006/relationships/hyperlink" Target="https://doi.org/10.5281/zenodo.13683692" TargetMode="External"/><Relationship Id="rId46" Type="http://schemas.openxmlformats.org/officeDocument/2006/relationships/hyperlink" Target="https://doi.org/10.5281/zenodo.13683861" TargetMode="External"/><Relationship Id="rId59" Type="http://schemas.openxmlformats.org/officeDocument/2006/relationships/hyperlink" Target="https://doi.org/10.5281/zenodo.13684275" TargetMode="External"/><Relationship Id="rId67" Type="http://schemas.openxmlformats.org/officeDocument/2006/relationships/hyperlink" Target="http://hdl.handle.net/10603/194579" TargetMode="External"/><Relationship Id="rId20" Type="http://schemas.openxmlformats.org/officeDocument/2006/relationships/chart" Target="charts/chart11.xml"/><Relationship Id="rId41" Type="http://schemas.openxmlformats.org/officeDocument/2006/relationships/hyperlink" Target="https://doi.org/10.5281/zenodo.13683760" TargetMode="External"/><Relationship Id="rId54" Type="http://schemas.openxmlformats.org/officeDocument/2006/relationships/hyperlink" Target="https://doi.org/10.5281/zenodo.13684144" TargetMode="External"/><Relationship Id="rId62" Type="http://schemas.openxmlformats.org/officeDocument/2006/relationships/hyperlink" Target="https://doi.org/10.5281/zenodo.13684360" TargetMode="External"/><Relationship Id="rId70" Type="http://schemas.openxmlformats.org/officeDocument/2006/relationships/hyperlink" Target="https://thinkindiaquarterly.org/index.php/think-india/article/view/10355" TargetMode="External"/><Relationship Id="rId75" Type="http://schemas.openxmlformats.org/officeDocument/2006/relationships/hyperlink" Target="https://doi.org/10.5281/zenodo.13705855" TargetMode="External"/><Relationship Id="rId83" Type="http://schemas.openxmlformats.org/officeDocument/2006/relationships/hyperlink" Target="https://doi.org/10.5281/zenodo.14921371" TargetMode="External"/><Relationship Id="rId88" Type="http://schemas.openxmlformats.org/officeDocument/2006/relationships/hyperlink" Target="https://doi.org/10.5281/zenodo.14923148" TargetMode="External"/><Relationship Id="rId91" Type="http://schemas.openxmlformats.org/officeDocument/2006/relationships/hyperlink" Target="https://doi.org/10.5281/zenodo.14929283"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image" Target="media/image5.png"/><Relationship Id="rId36" Type="http://schemas.openxmlformats.org/officeDocument/2006/relationships/hyperlink" Target="https://doi.org/10.5281/zenodo.13683509" TargetMode="External"/><Relationship Id="rId49" Type="http://schemas.openxmlformats.org/officeDocument/2006/relationships/hyperlink" Target="https://doi.org/10.5281/zenodo.13683981" TargetMode="External"/><Relationship Id="rId57" Type="http://schemas.openxmlformats.org/officeDocument/2006/relationships/hyperlink" Target="https://doi.org/10.5281/zenodo.13684245" TargetMode="External"/><Relationship Id="rId10" Type="http://schemas.openxmlformats.org/officeDocument/2006/relationships/chart" Target="charts/chart1.xml"/><Relationship Id="rId31" Type="http://schemas.openxmlformats.org/officeDocument/2006/relationships/hyperlink" Target="https://doi.org/10.5281/zenodo.13675324" TargetMode="External"/><Relationship Id="rId44" Type="http://schemas.openxmlformats.org/officeDocument/2006/relationships/hyperlink" Target="https://doi.org/10.5281/zenodo.13683814" TargetMode="External"/><Relationship Id="rId52" Type="http://schemas.openxmlformats.org/officeDocument/2006/relationships/hyperlink" Target="https://doi.org/10.5281/zenodo.13684096" TargetMode="External"/><Relationship Id="rId60" Type="http://schemas.openxmlformats.org/officeDocument/2006/relationships/hyperlink" Target="https://doi.org/10.5281/zenodo.13684308" TargetMode="External"/><Relationship Id="rId65" Type="http://schemas.openxmlformats.org/officeDocument/2006/relationships/hyperlink" Target="https://doi.org/10.32535/ijthap.v4i3.1213" TargetMode="External"/><Relationship Id="rId73" Type="http://schemas.openxmlformats.org/officeDocument/2006/relationships/hyperlink" Target="https://mail.journalppw.com/index.php/jpsp/article/view/10373" TargetMode="External"/><Relationship Id="rId78" Type="http://schemas.openxmlformats.org/officeDocument/2006/relationships/hyperlink" Target="https://doi.org/10.69889/667gf640" TargetMode="External"/><Relationship Id="rId81" Type="http://schemas.openxmlformats.org/officeDocument/2006/relationships/hyperlink" Target="https://doi.org/10.5281/zenodo.14060433" TargetMode="External"/><Relationship Id="rId86" Type="http://schemas.openxmlformats.org/officeDocument/2006/relationships/hyperlink" Target="https://doi.org/10.5281/zenodo.14922783" TargetMode="External"/><Relationship Id="rId94" Type="http://schemas.openxmlformats.org/officeDocument/2006/relationships/hyperlink" Target="https://doi.org/10.5281/zenodo.14929381"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chart" Target="charts/chart4.xml"/><Relationship Id="rId18" Type="http://schemas.openxmlformats.org/officeDocument/2006/relationships/chart" Target="charts/chart9.xml"/><Relationship Id="rId39" Type="http://schemas.openxmlformats.org/officeDocument/2006/relationships/hyperlink" Target="https://doi.org/10.5281/zenodo.13683725" TargetMode="External"/><Relationship Id="rId34" Type="http://schemas.openxmlformats.org/officeDocument/2006/relationships/hyperlink" Target="https://doi.org/10.5281/zenodo.13682832" TargetMode="External"/><Relationship Id="rId50" Type="http://schemas.openxmlformats.org/officeDocument/2006/relationships/hyperlink" Target="https://doi.org/10.5281/zenodo.13684029" TargetMode="External"/><Relationship Id="rId55" Type="http://schemas.openxmlformats.org/officeDocument/2006/relationships/hyperlink" Target="https://doi.org/10.5281/zenodo.13684198" TargetMode="External"/><Relationship Id="rId76" Type="http://schemas.openxmlformats.org/officeDocument/2006/relationships/hyperlink" Target="https://doi.org/10.69889/667gf640"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doi.org/10.5281/zenodo.13705742" TargetMode="External"/><Relationship Id="rId92" Type="http://schemas.openxmlformats.org/officeDocument/2006/relationships/hyperlink" Target="https://doi.org/10.5281/zenodo.14929323" TargetMode="External"/><Relationship Id="rId2" Type="http://schemas.openxmlformats.org/officeDocument/2006/relationships/numbering" Target="numbering.xml"/><Relationship Id="rId29" Type="http://schemas.openxmlformats.org/officeDocument/2006/relationships/image" Target="media/image6.png"/><Relationship Id="rId24" Type="http://schemas.openxmlformats.org/officeDocument/2006/relationships/chart" Target="charts/chart15.xml"/><Relationship Id="rId40" Type="http://schemas.openxmlformats.org/officeDocument/2006/relationships/hyperlink" Target="https://doi.org/10.5281/zenodo.13683746" TargetMode="External"/><Relationship Id="rId45" Type="http://schemas.openxmlformats.org/officeDocument/2006/relationships/hyperlink" Target="https://doi.org/10.5281/zenodo.13683847" TargetMode="External"/><Relationship Id="rId66" Type="http://schemas.openxmlformats.org/officeDocument/2006/relationships/hyperlink" Target="https://doi.org/10.32535/jcda.v4i3.1182" TargetMode="External"/><Relationship Id="rId87" Type="http://schemas.openxmlformats.org/officeDocument/2006/relationships/hyperlink" Target="https://doi.org/10.5281/zenodo.14923010" TargetMode="External"/><Relationship Id="rId61" Type="http://schemas.openxmlformats.org/officeDocument/2006/relationships/hyperlink" Target="https://doi.org/10.5281/zenodo.13684331" TargetMode="External"/><Relationship Id="rId82" Type="http://schemas.openxmlformats.org/officeDocument/2006/relationships/hyperlink" Target="https://doi.org/10.5281/zenodo.14921386" TargetMode="External"/><Relationship Id="rId19" Type="http://schemas.openxmlformats.org/officeDocument/2006/relationships/chart" Target="charts/chart10.xml"/><Relationship Id="rId14" Type="http://schemas.openxmlformats.org/officeDocument/2006/relationships/chart" Target="charts/chart5.xml"/><Relationship Id="rId30" Type="http://schemas.openxmlformats.org/officeDocument/2006/relationships/image" Target="media/image7.png"/><Relationship Id="rId35" Type="http://schemas.openxmlformats.org/officeDocument/2006/relationships/hyperlink" Target="https://doi.org/10.5281/zenodo.13683490" TargetMode="External"/><Relationship Id="rId56" Type="http://schemas.openxmlformats.org/officeDocument/2006/relationships/hyperlink" Target="https://doi.org/10.5281/zenodo.13684217" TargetMode="External"/><Relationship Id="rId77" Type="http://schemas.openxmlformats.org/officeDocument/2006/relationships/hyperlink" Target="https://doi.org/10.52783/eel.v14i3.1907" TargetMode="External"/><Relationship Id="rId8" Type="http://schemas.openxmlformats.org/officeDocument/2006/relationships/header" Target="header1.xml"/><Relationship Id="rId51" Type="http://schemas.openxmlformats.org/officeDocument/2006/relationships/hyperlink" Target="https://doi.org/10.5281/zenodo.13684074" TargetMode="External"/><Relationship Id="rId72" Type="http://schemas.openxmlformats.org/officeDocument/2006/relationships/hyperlink" Target="https://papers.ssrn.com/sol3/papers.cfm?abstract_id=4912797" TargetMode="External"/><Relationship Id="rId93" Type="http://schemas.openxmlformats.org/officeDocument/2006/relationships/hyperlink" Target="https://doi.org/10.5281/zenodo.1492933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HP\AppData\Local\Microsoft\Windows\INetCache\IE\W98QLSS1\research_paper_second%5b1%5d.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HP\AppData\Local\Microsoft\Windows\INetCache\IE\W98QLSS1\research_paper_second%5b1%5d.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HP\AppData\Local\Microsoft\Windows\INetCache\IE\W98QLSS1\research_paper_second%5b1%5d.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HP\AppData\Local\Microsoft\Windows\INetCache\IE\W98QLSS1\research_paper_second%5b1%5d.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HP\AppData\Local\Microsoft\Windows\INetCache\IE\W98QLSS1\research_paper_second%5b1%5d.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HP\AppData\Local\Microsoft\Windows\INetCache\IE\W98QLSS1\research_paper_second%5b1%5d.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HP\AppData\Local\Microsoft\Windows\INetCache\IE\W98QLSS1\research_paper_second%5b1%5d.xlsx" TargetMode="External"/><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P\AppData\Local\Microsoft\Windows\INetCache\IE\W98QLSS1\research_paper_second%5b1%5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HP\AppData\Local\Microsoft\Windows\INetCache\IE\W98QLSS1\research_paper_second%5b1%5d.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HP\AppData\Local\Microsoft\Windows\INetCache\IE\W98QLSS1\research_paper_second%5b1%5d.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HP\AppData\Local\Microsoft\Windows\INetCache\IE\W98QLSS1\research_paper_second%5b1%5d.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HP\AppData\Local\Microsoft\Windows\INetCache\IE\W98QLSS1\research_paper_second%5b1%5d.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HP\AppData\Local\Microsoft\Windows\INetCache\IE\W98QLSS1\research_paper_second%5b1%5d.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HP\AppData\Local\Microsoft\Windows\INetCache\IE\W98QLSS1\research_paper_second%5b1%5d.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HP\AppData\Local\Microsoft\Windows\INetCache\IE\W98QLSS1\research_paper_second%5b1%5d.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Sheet1!$B$2</c:f>
              <c:strCache>
                <c:ptCount val="1"/>
                <c:pt idx="0">
                  <c:v>Frequency</c:v>
                </c:pt>
              </c:strCache>
            </c:strRef>
          </c:tx>
          <c:spPr>
            <a:solidFill>
              <a:schemeClr val="accent2"/>
            </a:solidFill>
            <a:ln>
              <a:noFill/>
            </a:ln>
            <a:effectLst/>
          </c:spPr>
          <c:invertIfNegative val="0"/>
          <c:dPt>
            <c:idx val="1"/>
            <c:invertIfNegative val="0"/>
            <c:bubble3D val="0"/>
            <c:spPr>
              <a:solidFill>
                <a:schemeClr val="bg2"/>
              </a:solidFill>
              <a:ln>
                <a:noFill/>
              </a:ln>
              <a:effectLst/>
            </c:spPr>
            <c:extLst>
              <c:ext xmlns:c16="http://schemas.microsoft.com/office/drawing/2014/chart" uri="{C3380CC4-5D6E-409C-BE32-E72D297353CC}">
                <c16:uniqueId val="{00000001-4878-4C28-934E-10D44B7F7681}"/>
              </c:ext>
            </c:extLst>
          </c:dPt>
          <c:dPt>
            <c:idx val="2"/>
            <c:invertIfNegative val="0"/>
            <c:bubble3D val="0"/>
            <c:spPr>
              <a:solidFill>
                <a:schemeClr val="accent6">
                  <a:lumMod val="60000"/>
                  <a:lumOff val="40000"/>
                </a:schemeClr>
              </a:solidFill>
              <a:ln>
                <a:noFill/>
              </a:ln>
              <a:effectLst/>
            </c:spPr>
            <c:extLst>
              <c:ext xmlns:c16="http://schemas.microsoft.com/office/drawing/2014/chart" uri="{C3380CC4-5D6E-409C-BE32-E72D297353CC}">
                <c16:uniqueId val="{00000003-4878-4C28-934E-10D44B7F7681}"/>
              </c:ext>
            </c:extLst>
          </c:dPt>
          <c:dPt>
            <c:idx val="3"/>
            <c:invertIfNegative val="0"/>
            <c:bubble3D val="0"/>
            <c:spPr>
              <a:solidFill>
                <a:schemeClr val="tx1">
                  <a:lumMod val="85000"/>
                  <a:lumOff val="15000"/>
                </a:schemeClr>
              </a:solidFill>
              <a:ln>
                <a:noFill/>
              </a:ln>
              <a:effectLst/>
            </c:spPr>
            <c:extLst>
              <c:ext xmlns:c16="http://schemas.microsoft.com/office/drawing/2014/chart" uri="{C3380CC4-5D6E-409C-BE32-E72D297353CC}">
                <c16:uniqueId val="{00000005-4878-4C28-934E-10D44B7F768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Sheet1!$A$3:$A$6</c:f>
              <c:strCache>
                <c:ptCount val="4"/>
                <c:pt idx="0">
                  <c:v>Less than 1 Year</c:v>
                </c:pt>
                <c:pt idx="1">
                  <c:v>1-5 Years</c:v>
                </c:pt>
                <c:pt idx="2">
                  <c:v>5-10 Years</c:v>
                </c:pt>
                <c:pt idx="3">
                  <c:v>More than 10 Years</c:v>
                </c:pt>
              </c:strCache>
            </c:strRef>
          </c:cat>
          <c:val>
            <c:numRef>
              <c:f>Sheet1!$B$3:$B$6</c:f>
              <c:numCache>
                <c:formatCode>General</c:formatCode>
                <c:ptCount val="4"/>
                <c:pt idx="0">
                  <c:v>124</c:v>
                </c:pt>
                <c:pt idx="1">
                  <c:v>64</c:v>
                </c:pt>
                <c:pt idx="2">
                  <c:v>6</c:v>
                </c:pt>
                <c:pt idx="3">
                  <c:v>6</c:v>
                </c:pt>
              </c:numCache>
            </c:numRef>
          </c:val>
          <c:extLst>
            <c:ext xmlns:c16="http://schemas.microsoft.com/office/drawing/2014/chart" uri="{C3380CC4-5D6E-409C-BE32-E72D297353CC}">
              <c16:uniqueId val="{00000006-4878-4C28-934E-10D44B7F7681}"/>
            </c:ext>
          </c:extLst>
        </c:ser>
        <c:dLbls>
          <c:dLblPos val="ctr"/>
          <c:showLegendKey val="0"/>
          <c:showVal val="1"/>
          <c:showCatName val="0"/>
          <c:showSerName val="0"/>
          <c:showPercent val="0"/>
          <c:showBubbleSize val="0"/>
        </c:dLbls>
        <c:gapWidth val="150"/>
        <c:axId val="610117680"/>
        <c:axId val="610106640"/>
      </c:barChart>
      <c:catAx>
        <c:axId val="610117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0106640"/>
        <c:crosses val="autoZero"/>
        <c:auto val="1"/>
        <c:lblAlgn val="ctr"/>
        <c:lblOffset val="100"/>
        <c:noMultiLvlLbl val="0"/>
      </c:catAx>
      <c:valAx>
        <c:axId val="610106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01176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Sheet1!$B$112</c:f>
              <c:strCache>
                <c:ptCount val="1"/>
                <c:pt idx="0">
                  <c:v>Frequency</c:v>
                </c:pt>
              </c:strCache>
            </c:strRef>
          </c:tx>
          <c:spPr>
            <a:solidFill>
              <a:schemeClr val="accent2">
                <a:lumMod val="20000"/>
                <a:lumOff val="80000"/>
              </a:schemeClr>
            </a:solidFill>
            <a:ln>
              <a:noFill/>
            </a:ln>
            <a:effectLst/>
          </c:spPr>
          <c:invertIfNegative val="0"/>
          <c:dPt>
            <c:idx val="1"/>
            <c:invertIfNegative val="0"/>
            <c:bubble3D val="0"/>
            <c:spPr>
              <a:solidFill>
                <a:schemeClr val="tx2">
                  <a:lumMod val="40000"/>
                  <a:lumOff val="60000"/>
                </a:schemeClr>
              </a:solidFill>
              <a:ln>
                <a:noFill/>
              </a:ln>
              <a:effectLst/>
            </c:spPr>
            <c:extLst>
              <c:ext xmlns:c16="http://schemas.microsoft.com/office/drawing/2014/chart" uri="{C3380CC4-5D6E-409C-BE32-E72D297353CC}">
                <c16:uniqueId val="{00000001-D4C2-4178-B7EC-A3F6C62167F4}"/>
              </c:ext>
            </c:extLst>
          </c:dPt>
          <c:dPt>
            <c:idx val="2"/>
            <c:invertIfNegative val="0"/>
            <c:bubble3D val="0"/>
            <c:spPr>
              <a:solidFill>
                <a:schemeClr val="accent3">
                  <a:lumMod val="40000"/>
                  <a:lumOff val="60000"/>
                </a:schemeClr>
              </a:solidFill>
              <a:ln>
                <a:noFill/>
              </a:ln>
              <a:effectLst/>
            </c:spPr>
            <c:extLst>
              <c:ext xmlns:c16="http://schemas.microsoft.com/office/drawing/2014/chart" uri="{C3380CC4-5D6E-409C-BE32-E72D297353CC}">
                <c16:uniqueId val="{00000003-D4C2-4178-B7EC-A3F6C62167F4}"/>
              </c:ext>
            </c:extLst>
          </c:dPt>
          <c:dPt>
            <c:idx val="3"/>
            <c:invertIfNegative val="0"/>
            <c:bubble3D val="0"/>
            <c:spPr>
              <a:solidFill>
                <a:schemeClr val="accent6">
                  <a:lumMod val="60000"/>
                  <a:lumOff val="40000"/>
                </a:schemeClr>
              </a:solidFill>
              <a:ln>
                <a:noFill/>
              </a:ln>
              <a:effectLst/>
            </c:spPr>
            <c:extLst>
              <c:ext xmlns:c16="http://schemas.microsoft.com/office/drawing/2014/chart" uri="{C3380CC4-5D6E-409C-BE32-E72D297353CC}">
                <c16:uniqueId val="{00000005-D4C2-4178-B7EC-A3F6C62167F4}"/>
              </c:ext>
            </c:extLst>
          </c:dPt>
          <c:dPt>
            <c:idx val="4"/>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7-D4C2-4178-B7EC-A3F6C62167F4}"/>
              </c:ext>
            </c:extLst>
          </c:dPt>
          <c:cat>
            <c:strRef>
              <c:f>Sheet1!$A$113:$A$117</c:f>
              <c:strCache>
                <c:ptCount val="5"/>
                <c:pt idx="0">
                  <c:v>Expected Returns</c:v>
                </c:pt>
                <c:pt idx="1">
                  <c:v>Alignment with Personal Values</c:v>
                </c:pt>
                <c:pt idx="2">
                  <c:v>Risk Management</c:v>
                </c:pt>
                <c:pt idx="3">
                  <c:v>Regulatory Incentives</c:v>
                </c:pt>
                <c:pt idx="4">
                  <c:v>Peer Influence</c:v>
                </c:pt>
              </c:strCache>
            </c:strRef>
          </c:cat>
          <c:val>
            <c:numRef>
              <c:f>Sheet1!$B$113:$B$117</c:f>
              <c:numCache>
                <c:formatCode>General</c:formatCode>
                <c:ptCount val="5"/>
                <c:pt idx="0">
                  <c:v>78</c:v>
                </c:pt>
                <c:pt idx="1">
                  <c:v>38</c:v>
                </c:pt>
                <c:pt idx="2">
                  <c:v>58</c:v>
                </c:pt>
                <c:pt idx="3">
                  <c:v>10</c:v>
                </c:pt>
                <c:pt idx="4">
                  <c:v>16</c:v>
                </c:pt>
              </c:numCache>
            </c:numRef>
          </c:val>
          <c:extLst>
            <c:ext xmlns:c16="http://schemas.microsoft.com/office/drawing/2014/chart" uri="{C3380CC4-5D6E-409C-BE32-E72D297353CC}">
              <c16:uniqueId val="{00000008-D4C2-4178-B7EC-A3F6C62167F4}"/>
            </c:ext>
          </c:extLst>
        </c:ser>
        <c:dLbls>
          <c:showLegendKey val="0"/>
          <c:showVal val="0"/>
          <c:showCatName val="0"/>
          <c:showSerName val="0"/>
          <c:showPercent val="0"/>
          <c:showBubbleSize val="0"/>
        </c:dLbls>
        <c:gapWidth val="150"/>
        <c:overlap val="100"/>
        <c:axId val="476732207"/>
        <c:axId val="476732687"/>
      </c:barChart>
      <c:catAx>
        <c:axId val="4767322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6732687"/>
        <c:crosses val="autoZero"/>
        <c:auto val="1"/>
        <c:lblAlgn val="ctr"/>
        <c:lblOffset val="100"/>
        <c:noMultiLvlLbl val="0"/>
      </c:catAx>
      <c:valAx>
        <c:axId val="4767326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673220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Sheet1!$B$122</c:f>
              <c:strCache>
                <c:ptCount val="1"/>
                <c:pt idx="0">
                  <c:v>Frequency</c:v>
                </c:pt>
              </c:strCache>
            </c:strRef>
          </c:tx>
          <c:spPr>
            <a:solidFill>
              <a:schemeClr val="accent1"/>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1-2A8A-4397-B197-2DF82452F2ED}"/>
              </c:ext>
            </c:extLst>
          </c:dPt>
          <c:dPt>
            <c:idx val="2"/>
            <c:invertIfNegative val="0"/>
            <c:bubble3D val="0"/>
            <c:spPr>
              <a:solidFill>
                <a:schemeClr val="accent6"/>
              </a:solidFill>
              <a:ln>
                <a:noFill/>
              </a:ln>
              <a:effectLst/>
            </c:spPr>
            <c:extLst>
              <c:ext xmlns:c16="http://schemas.microsoft.com/office/drawing/2014/chart" uri="{C3380CC4-5D6E-409C-BE32-E72D297353CC}">
                <c16:uniqueId val="{00000003-2A8A-4397-B197-2DF82452F2ED}"/>
              </c:ext>
            </c:extLst>
          </c:dPt>
          <c:cat>
            <c:strRef>
              <c:f>Sheet1!$A$123:$A$126</c:f>
              <c:strCache>
                <c:ptCount val="4"/>
                <c:pt idx="0">
                  <c:v>Lack of Awareness</c:v>
                </c:pt>
                <c:pt idx="1">
                  <c:v>Perceived Lower Returns</c:v>
                </c:pt>
                <c:pt idx="2">
                  <c:v>Limited Availability of ESG Products</c:v>
                </c:pt>
                <c:pt idx="3">
                  <c:v>Higher Costs</c:v>
                </c:pt>
              </c:strCache>
            </c:strRef>
          </c:cat>
          <c:val>
            <c:numRef>
              <c:f>Sheet1!$B$123:$B$126</c:f>
              <c:numCache>
                <c:formatCode>General</c:formatCode>
                <c:ptCount val="4"/>
                <c:pt idx="0">
                  <c:v>117</c:v>
                </c:pt>
                <c:pt idx="1">
                  <c:v>26</c:v>
                </c:pt>
                <c:pt idx="2">
                  <c:v>51</c:v>
                </c:pt>
                <c:pt idx="3">
                  <c:v>6</c:v>
                </c:pt>
              </c:numCache>
            </c:numRef>
          </c:val>
          <c:extLst>
            <c:ext xmlns:c16="http://schemas.microsoft.com/office/drawing/2014/chart" uri="{C3380CC4-5D6E-409C-BE32-E72D297353CC}">
              <c16:uniqueId val="{00000004-2A8A-4397-B197-2DF82452F2ED}"/>
            </c:ext>
          </c:extLst>
        </c:ser>
        <c:dLbls>
          <c:showLegendKey val="0"/>
          <c:showVal val="0"/>
          <c:showCatName val="0"/>
          <c:showSerName val="0"/>
          <c:showPercent val="0"/>
          <c:showBubbleSize val="0"/>
        </c:dLbls>
        <c:gapWidth val="150"/>
        <c:overlap val="100"/>
        <c:axId val="780343103"/>
        <c:axId val="780349823"/>
      </c:barChart>
      <c:catAx>
        <c:axId val="780343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0349823"/>
        <c:crosses val="autoZero"/>
        <c:auto val="1"/>
        <c:lblAlgn val="ctr"/>
        <c:lblOffset val="100"/>
        <c:noMultiLvlLbl val="0"/>
      </c:catAx>
      <c:valAx>
        <c:axId val="7803498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034310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Sheet1!$B$130</c:f>
              <c:strCache>
                <c:ptCount val="1"/>
                <c:pt idx="0">
                  <c:v>Frequency</c:v>
                </c:pt>
              </c:strCache>
            </c:strRef>
          </c:tx>
          <c:spPr>
            <a:solidFill>
              <a:schemeClr val="accent1"/>
            </a:solidFill>
            <a:ln>
              <a:noFill/>
            </a:ln>
            <a:effectLst/>
          </c:spPr>
          <c:invertIfNegative val="0"/>
          <c:dPt>
            <c:idx val="0"/>
            <c:invertIfNegative val="0"/>
            <c:bubble3D val="0"/>
            <c:spPr>
              <a:solidFill>
                <a:srgbClr val="FFC000"/>
              </a:solidFill>
              <a:ln>
                <a:noFill/>
              </a:ln>
              <a:effectLst/>
            </c:spPr>
            <c:extLst>
              <c:ext xmlns:c16="http://schemas.microsoft.com/office/drawing/2014/chart" uri="{C3380CC4-5D6E-409C-BE32-E72D297353CC}">
                <c16:uniqueId val="{00000001-1F29-4338-B057-8BDEB99F25B0}"/>
              </c:ext>
            </c:extLst>
          </c:dPt>
          <c:dPt>
            <c:idx val="2"/>
            <c:invertIfNegative val="0"/>
            <c:bubble3D val="0"/>
            <c:spPr>
              <a:solidFill>
                <a:schemeClr val="tx1">
                  <a:lumMod val="75000"/>
                  <a:lumOff val="25000"/>
                </a:schemeClr>
              </a:solidFill>
              <a:ln>
                <a:noFill/>
              </a:ln>
              <a:effectLst/>
            </c:spPr>
            <c:extLst>
              <c:ext xmlns:c16="http://schemas.microsoft.com/office/drawing/2014/chart" uri="{C3380CC4-5D6E-409C-BE32-E72D297353CC}">
                <c16:uniqueId val="{00000003-1F29-4338-B057-8BDEB99F25B0}"/>
              </c:ext>
            </c:extLst>
          </c:dPt>
          <c:dPt>
            <c:idx val="3"/>
            <c:invertIfNegative val="0"/>
            <c:bubble3D val="0"/>
            <c:spPr>
              <a:solidFill>
                <a:srgbClr val="FF0000"/>
              </a:solidFill>
              <a:ln>
                <a:noFill/>
              </a:ln>
              <a:effectLst/>
            </c:spPr>
            <c:extLst>
              <c:ext xmlns:c16="http://schemas.microsoft.com/office/drawing/2014/chart" uri="{C3380CC4-5D6E-409C-BE32-E72D297353CC}">
                <c16:uniqueId val="{00000005-1F29-4338-B057-8BDEB99F25B0}"/>
              </c:ext>
            </c:extLst>
          </c:dPt>
          <c:cat>
            <c:strRef>
              <c:f>Sheet1!$A$131:$A$134</c:f>
              <c:strCache>
                <c:ptCount val="4"/>
                <c:pt idx="0">
                  <c:v>Always</c:v>
                </c:pt>
                <c:pt idx="1">
                  <c:v>Often (Corrected)</c:v>
                </c:pt>
                <c:pt idx="2">
                  <c:v>Sometimes</c:v>
                </c:pt>
                <c:pt idx="3">
                  <c:v>Rarely</c:v>
                </c:pt>
              </c:strCache>
            </c:strRef>
          </c:cat>
          <c:val>
            <c:numRef>
              <c:f>Sheet1!$B$131:$B$134</c:f>
              <c:numCache>
                <c:formatCode>General</c:formatCode>
                <c:ptCount val="4"/>
                <c:pt idx="0">
                  <c:v>40</c:v>
                </c:pt>
                <c:pt idx="1">
                  <c:v>70</c:v>
                </c:pt>
                <c:pt idx="2">
                  <c:v>46</c:v>
                </c:pt>
                <c:pt idx="3">
                  <c:v>44</c:v>
                </c:pt>
              </c:numCache>
            </c:numRef>
          </c:val>
          <c:extLst>
            <c:ext xmlns:c16="http://schemas.microsoft.com/office/drawing/2014/chart" uri="{C3380CC4-5D6E-409C-BE32-E72D297353CC}">
              <c16:uniqueId val="{00000006-1F29-4338-B057-8BDEB99F25B0}"/>
            </c:ext>
          </c:extLst>
        </c:ser>
        <c:dLbls>
          <c:showLegendKey val="0"/>
          <c:showVal val="0"/>
          <c:showCatName val="0"/>
          <c:showSerName val="0"/>
          <c:showPercent val="0"/>
          <c:showBubbleSize val="0"/>
        </c:dLbls>
        <c:gapWidth val="150"/>
        <c:overlap val="100"/>
        <c:axId val="779876911"/>
        <c:axId val="779878831"/>
      </c:barChart>
      <c:catAx>
        <c:axId val="7798769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9878831"/>
        <c:crosses val="autoZero"/>
        <c:auto val="1"/>
        <c:lblAlgn val="ctr"/>
        <c:lblOffset val="100"/>
        <c:noMultiLvlLbl val="0"/>
      </c:catAx>
      <c:valAx>
        <c:axId val="7798788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98769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Sheet1!$B$143</c:f>
              <c:strCache>
                <c:ptCount val="1"/>
                <c:pt idx="0">
                  <c:v>Frequency</c:v>
                </c:pt>
              </c:strCache>
            </c:strRef>
          </c:tx>
          <c:spPr>
            <a:solidFill>
              <a:schemeClr val="accent4"/>
            </a:solidFill>
            <a:ln>
              <a:noFill/>
            </a:ln>
            <a:effectLst/>
          </c:spPr>
          <c:invertIfNegative val="0"/>
          <c:dPt>
            <c:idx val="0"/>
            <c:invertIfNegative val="0"/>
            <c:bubble3D val="0"/>
            <c:spPr>
              <a:solidFill>
                <a:schemeClr val="tx1"/>
              </a:solidFill>
              <a:ln>
                <a:noFill/>
              </a:ln>
              <a:effectLst/>
            </c:spPr>
            <c:extLst>
              <c:ext xmlns:c16="http://schemas.microsoft.com/office/drawing/2014/chart" uri="{C3380CC4-5D6E-409C-BE32-E72D297353CC}">
                <c16:uniqueId val="{00000001-8780-4970-9D52-3F89F57F13CA}"/>
              </c:ext>
            </c:extLst>
          </c:dPt>
          <c:cat>
            <c:strRef>
              <c:f>Sheet1!$A$144:$A$145</c:f>
              <c:strCache>
                <c:ptCount val="2"/>
                <c:pt idx="0">
                  <c:v>Yes</c:v>
                </c:pt>
                <c:pt idx="1">
                  <c:v>No</c:v>
                </c:pt>
              </c:strCache>
            </c:strRef>
          </c:cat>
          <c:val>
            <c:numRef>
              <c:f>Sheet1!$B$144:$B$145</c:f>
              <c:numCache>
                <c:formatCode>General</c:formatCode>
                <c:ptCount val="2"/>
                <c:pt idx="0">
                  <c:v>164</c:v>
                </c:pt>
                <c:pt idx="1">
                  <c:v>36</c:v>
                </c:pt>
              </c:numCache>
            </c:numRef>
          </c:val>
          <c:extLst>
            <c:ext xmlns:c16="http://schemas.microsoft.com/office/drawing/2014/chart" uri="{C3380CC4-5D6E-409C-BE32-E72D297353CC}">
              <c16:uniqueId val="{00000002-8780-4970-9D52-3F89F57F13CA}"/>
            </c:ext>
          </c:extLst>
        </c:ser>
        <c:dLbls>
          <c:showLegendKey val="0"/>
          <c:showVal val="0"/>
          <c:showCatName val="0"/>
          <c:showSerName val="0"/>
          <c:showPercent val="0"/>
          <c:showBubbleSize val="0"/>
        </c:dLbls>
        <c:gapWidth val="150"/>
        <c:overlap val="100"/>
        <c:axId val="780350303"/>
        <c:axId val="780351743"/>
      </c:barChart>
      <c:catAx>
        <c:axId val="780350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0351743"/>
        <c:crosses val="autoZero"/>
        <c:auto val="1"/>
        <c:lblAlgn val="ctr"/>
        <c:lblOffset val="100"/>
        <c:noMultiLvlLbl val="0"/>
      </c:catAx>
      <c:valAx>
        <c:axId val="7803517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035030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Sheet1!$B$159</c:f>
              <c:strCache>
                <c:ptCount val="1"/>
                <c:pt idx="0">
                  <c:v>Frequency</c:v>
                </c:pt>
              </c:strCache>
            </c:strRef>
          </c:tx>
          <c:spPr>
            <a:solidFill>
              <a:schemeClr val="bg2">
                <a:lumMod val="75000"/>
              </a:schemeClr>
            </a:solidFill>
            <a:ln>
              <a:noFill/>
            </a:ln>
            <a:effectLst/>
          </c:spPr>
          <c:invertIfNegative val="0"/>
          <c:dPt>
            <c:idx val="1"/>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1-3EB8-4902-92C1-415CC1F9AFC3}"/>
              </c:ext>
            </c:extLst>
          </c:dPt>
          <c:dPt>
            <c:idx val="2"/>
            <c:invertIfNegative val="0"/>
            <c:bubble3D val="0"/>
            <c:spPr>
              <a:solidFill>
                <a:schemeClr val="accent4">
                  <a:lumMod val="40000"/>
                  <a:lumOff val="60000"/>
                </a:schemeClr>
              </a:solidFill>
              <a:ln>
                <a:noFill/>
              </a:ln>
              <a:effectLst/>
            </c:spPr>
            <c:extLst>
              <c:ext xmlns:c16="http://schemas.microsoft.com/office/drawing/2014/chart" uri="{C3380CC4-5D6E-409C-BE32-E72D297353CC}">
                <c16:uniqueId val="{00000003-3EB8-4902-92C1-415CC1F9AFC3}"/>
              </c:ext>
            </c:extLst>
          </c:dPt>
          <c:dPt>
            <c:idx val="3"/>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05-3EB8-4902-92C1-415CC1F9AFC3}"/>
              </c:ext>
            </c:extLst>
          </c:dPt>
          <c:cat>
            <c:strRef>
              <c:f>Sheet1!$A$160:$A$163</c:f>
              <c:strCache>
                <c:ptCount val="4"/>
                <c:pt idx="0">
                  <c:v>Higher Returns</c:v>
                </c:pt>
                <c:pt idx="1">
                  <c:v>Improved Awareness and Education</c:v>
                </c:pt>
                <c:pt idx="2">
                  <c:v>Wider Product Availability</c:v>
                </c:pt>
                <c:pt idx="3">
                  <c:v>Better ESG Ratings and Standards</c:v>
                </c:pt>
              </c:strCache>
            </c:strRef>
          </c:cat>
          <c:val>
            <c:numRef>
              <c:f>Sheet1!$B$160:$B$163</c:f>
              <c:numCache>
                <c:formatCode>General</c:formatCode>
                <c:ptCount val="4"/>
                <c:pt idx="0">
                  <c:v>70</c:v>
                </c:pt>
                <c:pt idx="1">
                  <c:v>86</c:v>
                </c:pt>
                <c:pt idx="2">
                  <c:v>30</c:v>
                </c:pt>
                <c:pt idx="3">
                  <c:v>14</c:v>
                </c:pt>
              </c:numCache>
            </c:numRef>
          </c:val>
          <c:extLst>
            <c:ext xmlns:c16="http://schemas.microsoft.com/office/drawing/2014/chart" uri="{C3380CC4-5D6E-409C-BE32-E72D297353CC}">
              <c16:uniqueId val="{00000006-3EB8-4902-92C1-415CC1F9AFC3}"/>
            </c:ext>
          </c:extLst>
        </c:ser>
        <c:dLbls>
          <c:showLegendKey val="0"/>
          <c:showVal val="0"/>
          <c:showCatName val="0"/>
          <c:showSerName val="0"/>
          <c:showPercent val="0"/>
          <c:showBubbleSize val="0"/>
        </c:dLbls>
        <c:gapWidth val="150"/>
        <c:overlap val="100"/>
        <c:axId val="779885551"/>
        <c:axId val="779886511"/>
      </c:barChart>
      <c:catAx>
        <c:axId val="7798855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9886511"/>
        <c:crosses val="autoZero"/>
        <c:auto val="1"/>
        <c:lblAlgn val="ctr"/>
        <c:lblOffset val="100"/>
        <c:noMultiLvlLbl val="0"/>
      </c:catAx>
      <c:valAx>
        <c:axId val="7798865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988555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Sheet1!$B$167</c:f>
              <c:strCache>
                <c:ptCount val="1"/>
                <c:pt idx="0">
                  <c:v>Frequency</c:v>
                </c:pt>
              </c:strCache>
            </c:strRef>
          </c:tx>
          <c:spPr>
            <a:solidFill>
              <a:schemeClr val="accent2">
                <a:lumMod val="60000"/>
                <a:lumOff val="40000"/>
              </a:schemeClr>
            </a:solidFill>
            <a:ln>
              <a:noFill/>
            </a:ln>
            <a:effectLst/>
          </c:spPr>
          <c:invertIfNegative val="0"/>
          <c:dPt>
            <c:idx val="0"/>
            <c:invertIfNegative val="0"/>
            <c:bubble3D val="0"/>
            <c:spPr>
              <a:solidFill>
                <a:schemeClr val="bg2">
                  <a:lumMod val="75000"/>
                </a:schemeClr>
              </a:solidFill>
              <a:ln>
                <a:noFill/>
              </a:ln>
              <a:effectLst/>
            </c:spPr>
            <c:extLst>
              <c:ext xmlns:c16="http://schemas.microsoft.com/office/drawing/2014/chart" uri="{C3380CC4-5D6E-409C-BE32-E72D297353CC}">
                <c16:uniqueId val="{00000001-7B2D-4240-807E-8199A59C4525}"/>
              </c:ext>
            </c:extLst>
          </c:dPt>
          <c:dPt>
            <c:idx val="1"/>
            <c:invertIfNegative val="0"/>
            <c:bubble3D val="0"/>
            <c:spPr>
              <a:solidFill>
                <a:schemeClr val="accent6">
                  <a:lumMod val="75000"/>
                </a:schemeClr>
              </a:solidFill>
              <a:ln>
                <a:noFill/>
              </a:ln>
              <a:effectLst/>
            </c:spPr>
            <c:extLst>
              <c:ext xmlns:c16="http://schemas.microsoft.com/office/drawing/2014/chart" uri="{C3380CC4-5D6E-409C-BE32-E72D297353CC}">
                <c16:uniqueId val="{00000003-7B2D-4240-807E-8199A59C4525}"/>
              </c:ext>
            </c:extLst>
          </c:dPt>
          <c:dPt>
            <c:idx val="3"/>
            <c:invertIfNegative val="0"/>
            <c:bubble3D val="0"/>
            <c:spPr>
              <a:solidFill>
                <a:schemeClr val="accent5">
                  <a:lumMod val="40000"/>
                  <a:lumOff val="60000"/>
                </a:schemeClr>
              </a:solidFill>
              <a:ln>
                <a:noFill/>
              </a:ln>
              <a:effectLst/>
            </c:spPr>
            <c:extLst>
              <c:ext xmlns:c16="http://schemas.microsoft.com/office/drawing/2014/chart" uri="{C3380CC4-5D6E-409C-BE32-E72D297353CC}">
                <c16:uniqueId val="{00000005-7B2D-4240-807E-8199A59C4525}"/>
              </c:ext>
            </c:extLst>
          </c:dPt>
          <c:cat>
            <c:strRef>
              <c:f>Sheet1!$A$168:$A$171</c:f>
              <c:strCache>
                <c:ptCount val="4"/>
                <c:pt idx="0">
                  <c:v>Strongly Agree</c:v>
                </c:pt>
                <c:pt idx="1">
                  <c:v>Agree</c:v>
                </c:pt>
                <c:pt idx="2">
                  <c:v>Neutral</c:v>
                </c:pt>
                <c:pt idx="3">
                  <c:v>Disagree</c:v>
                </c:pt>
              </c:strCache>
            </c:strRef>
          </c:cat>
          <c:val>
            <c:numRef>
              <c:f>Sheet1!$B$168:$B$171</c:f>
              <c:numCache>
                <c:formatCode>General</c:formatCode>
                <c:ptCount val="4"/>
                <c:pt idx="0">
                  <c:v>50</c:v>
                </c:pt>
                <c:pt idx="1">
                  <c:v>82</c:v>
                </c:pt>
                <c:pt idx="2">
                  <c:v>66</c:v>
                </c:pt>
                <c:pt idx="3">
                  <c:v>2</c:v>
                </c:pt>
              </c:numCache>
            </c:numRef>
          </c:val>
          <c:extLst>
            <c:ext xmlns:c16="http://schemas.microsoft.com/office/drawing/2014/chart" uri="{C3380CC4-5D6E-409C-BE32-E72D297353CC}">
              <c16:uniqueId val="{00000006-7B2D-4240-807E-8199A59C4525}"/>
            </c:ext>
          </c:extLst>
        </c:ser>
        <c:dLbls>
          <c:showLegendKey val="0"/>
          <c:showVal val="0"/>
          <c:showCatName val="0"/>
          <c:showSerName val="0"/>
          <c:showPercent val="0"/>
          <c:showBubbleSize val="0"/>
        </c:dLbls>
        <c:gapWidth val="150"/>
        <c:overlap val="100"/>
        <c:axId val="960903615"/>
        <c:axId val="960887295"/>
      </c:barChart>
      <c:catAx>
        <c:axId val="9609036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0887295"/>
        <c:crosses val="autoZero"/>
        <c:auto val="1"/>
        <c:lblAlgn val="ctr"/>
        <c:lblOffset val="100"/>
        <c:noMultiLvlLbl val="0"/>
      </c:catAx>
      <c:valAx>
        <c:axId val="9608872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090361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Sheet1!$B$14</c:f>
              <c:strCache>
                <c:ptCount val="1"/>
                <c:pt idx="0">
                  <c:v>Frequency</c:v>
                </c:pt>
              </c:strCache>
            </c:strRef>
          </c:tx>
          <c:spPr>
            <a:solidFill>
              <a:schemeClr val="accent6"/>
            </a:solidFill>
            <a:ln>
              <a:noFill/>
            </a:ln>
            <a:effectLst/>
          </c:spPr>
          <c:invertIfNegative val="0"/>
          <c:dPt>
            <c:idx val="1"/>
            <c:invertIfNegative val="0"/>
            <c:bubble3D val="0"/>
            <c:spPr>
              <a:solidFill>
                <a:srgbClr val="FFC000"/>
              </a:solidFill>
              <a:ln>
                <a:noFill/>
              </a:ln>
              <a:effectLst/>
            </c:spPr>
            <c:extLst>
              <c:ext xmlns:c16="http://schemas.microsoft.com/office/drawing/2014/chart" uri="{C3380CC4-5D6E-409C-BE32-E72D297353CC}">
                <c16:uniqueId val="{00000001-E859-4805-B0B3-5BBB0ADA4465}"/>
              </c:ext>
            </c:extLst>
          </c:dPt>
          <c:dPt>
            <c:idx val="3"/>
            <c:invertIfNegative val="0"/>
            <c:bubble3D val="0"/>
            <c:spPr>
              <a:solidFill>
                <a:schemeClr val="accent1">
                  <a:lumMod val="75000"/>
                </a:schemeClr>
              </a:solidFill>
              <a:ln>
                <a:noFill/>
              </a:ln>
              <a:effectLst/>
            </c:spPr>
            <c:extLst>
              <c:ext xmlns:c16="http://schemas.microsoft.com/office/drawing/2014/chart" uri="{C3380CC4-5D6E-409C-BE32-E72D297353CC}">
                <c16:uniqueId val="{00000003-E859-4805-B0B3-5BBB0ADA4465}"/>
              </c:ext>
            </c:extLst>
          </c:dPt>
          <c:dPt>
            <c:idx val="4"/>
            <c:invertIfNegative val="0"/>
            <c:bubble3D val="0"/>
            <c:spPr>
              <a:solidFill>
                <a:srgbClr val="00B0F0"/>
              </a:solidFill>
              <a:ln>
                <a:noFill/>
              </a:ln>
              <a:effectLst/>
            </c:spPr>
            <c:extLst>
              <c:ext xmlns:c16="http://schemas.microsoft.com/office/drawing/2014/chart" uri="{C3380CC4-5D6E-409C-BE32-E72D297353CC}">
                <c16:uniqueId val="{00000005-E859-4805-B0B3-5BBB0ADA446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Sheet1!$A$15:$A$19</c:f>
              <c:strCache>
                <c:ptCount val="5"/>
                <c:pt idx="0">
                  <c:v>Stocks</c:v>
                </c:pt>
                <c:pt idx="1">
                  <c:v>Mutual Funds</c:v>
                </c:pt>
                <c:pt idx="2">
                  <c:v>Bonds</c:v>
                </c:pt>
                <c:pt idx="3">
                  <c:v>Real Estate</c:v>
                </c:pt>
                <c:pt idx="4">
                  <c:v>Cryptocurrencies</c:v>
                </c:pt>
              </c:strCache>
            </c:strRef>
          </c:cat>
          <c:val>
            <c:numRef>
              <c:f>Sheet1!$B$15:$B$19</c:f>
              <c:numCache>
                <c:formatCode>General</c:formatCode>
                <c:ptCount val="5"/>
                <c:pt idx="0">
                  <c:v>102</c:v>
                </c:pt>
                <c:pt idx="1">
                  <c:v>69</c:v>
                </c:pt>
                <c:pt idx="2">
                  <c:v>11</c:v>
                </c:pt>
                <c:pt idx="3">
                  <c:v>10</c:v>
                </c:pt>
                <c:pt idx="4">
                  <c:v>8</c:v>
                </c:pt>
              </c:numCache>
            </c:numRef>
          </c:val>
          <c:extLst>
            <c:ext xmlns:c16="http://schemas.microsoft.com/office/drawing/2014/chart" uri="{C3380CC4-5D6E-409C-BE32-E72D297353CC}">
              <c16:uniqueId val="{00000006-E859-4805-B0B3-5BBB0ADA4465}"/>
            </c:ext>
          </c:extLst>
        </c:ser>
        <c:dLbls>
          <c:dLblPos val="inEnd"/>
          <c:showLegendKey val="0"/>
          <c:showVal val="1"/>
          <c:showCatName val="0"/>
          <c:showSerName val="0"/>
          <c:showPercent val="0"/>
          <c:showBubbleSize val="0"/>
        </c:dLbls>
        <c:gapWidth val="219"/>
        <c:overlap val="-27"/>
        <c:axId val="408418672"/>
        <c:axId val="408415792"/>
      </c:barChart>
      <c:catAx>
        <c:axId val="408418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8415792"/>
        <c:crosses val="autoZero"/>
        <c:auto val="1"/>
        <c:lblAlgn val="ctr"/>
        <c:lblOffset val="100"/>
        <c:noMultiLvlLbl val="0"/>
      </c:catAx>
      <c:valAx>
        <c:axId val="408415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84186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Sheet1!$B$27</c:f>
              <c:strCache>
                <c:ptCount val="1"/>
                <c:pt idx="0">
                  <c:v>Frequency</c:v>
                </c:pt>
              </c:strCache>
            </c:strRef>
          </c:tx>
          <c:spPr>
            <a:solidFill>
              <a:schemeClr val="accent3"/>
            </a:solidFill>
            <a:ln>
              <a:noFill/>
            </a:ln>
            <a:effectLst/>
          </c:spPr>
          <c:invertIfNegative val="0"/>
          <c:dPt>
            <c:idx val="1"/>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1-A008-4370-BB5A-8EA9AB5A4016}"/>
              </c:ext>
            </c:extLst>
          </c:dPt>
          <c:dPt>
            <c:idx val="2"/>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3-A008-4370-BB5A-8EA9AB5A4016}"/>
              </c:ext>
            </c:extLst>
          </c:dPt>
          <c:dPt>
            <c:idx val="3"/>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05-A008-4370-BB5A-8EA9AB5A4016}"/>
              </c:ext>
            </c:extLst>
          </c:dPt>
          <c:cat>
            <c:strRef>
              <c:f>Sheet1!$A$28:$A$31</c:f>
              <c:strCache>
                <c:ptCount val="4"/>
                <c:pt idx="0">
                  <c:v>Capital Appreciation</c:v>
                </c:pt>
                <c:pt idx="1">
                  <c:v>Regular Income</c:v>
                </c:pt>
                <c:pt idx="2">
                  <c:v>Tax Savings</c:v>
                </c:pt>
                <c:pt idx="3">
                  <c:v>Sustainable Investing</c:v>
                </c:pt>
              </c:strCache>
            </c:strRef>
          </c:cat>
          <c:val>
            <c:numRef>
              <c:f>Sheet1!$B$28:$B$31</c:f>
              <c:numCache>
                <c:formatCode>General</c:formatCode>
                <c:ptCount val="4"/>
                <c:pt idx="0">
                  <c:v>82</c:v>
                </c:pt>
                <c:pt idx="1">
                  <c:v>58</c:v>
                </c:pt>
                <c:pt idx="2">
                  <c:v>16</c:v>
                </c:pt>
                <c:pt idx="3">
                  <c:v>44</c:v>
                </c:pt>
              </c:numCache>
            </c:numRef>
          </c:val>
          <c:extLst>
            <c:ext xmlns:c16="http://schemas.microsoft.com/office/drawing/2014/chart" uri="{C3380CC4-5D6E-409C-BE32-E72D297353CC}">
              <c16:uniqueId val="{00000006-A008-4370-BB5A-8EA9AB5A4016}"/>
            </c:ext>
          </c:extLst>
        </c:ser>
        <c:dLbls>
          <c:showLegendKey val="0"/>
          <c:showVal val="0"/>
          <c:showCatName val="0"/>
          <c:showSerName val="0"/>
          <c:showPercent val="0"/>
          <c:showBubbleSize val="0"/>
        </c:dLbls>
        <c:gapWidth val="150"/>
        <c:overlap val="100"/>
        <c:axId val="587547039"/>
        <c:axId val="667294975"/>
      </c:barChart>
      <c:catAx>
        <c:axId val="5875470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294975"/>
        <c:crosses val="autoZero"/>
        <c:auto val="1"/>
        <c:lblAlgn val="ctr"/>
        <c:lblOffset val="100"/>
        <c:noMultiLvlLbl val="0"/>
      </c:catAx>
      <c:valAx>
        <c:axId val="6672949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754703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Sheet1!$B$37</c:f>
              <c:strCache>
                <c:ptCount val="1"/>
                <c:pt idx="0">
                  <c:v>Frequency</c:v>
                </c:pt>
              </c:strCache>
            </c:strRef>
          </c:tx>
          <c:spPr>
            <a:solidFill>
              <a:schemeClr val="accent1"/>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1-23FC-4591-B279-1346515C6A0B}"/>
              </c:ext>
            </c:extLst>
          </c:dPt>
          <c:dPt>
            <c:idx val="2"/>
            <c:invertIfNegative val="0"/>
            <c:bubble3D val="0"/>
            <c:spPr>
              <a:solidFill>
                <a:srgbClr val="FFFF00"/>
              </a:solidFill>
              <a:ln>
                <a:noFill/>
              </a:ln>
              <a:effectLst/>
            </c:spPr>
            <c:extLst>
              <c:ext xmlns:c16="http://schemas.microsoft.com/office/drawing/2014/chart" uri="{C3380CC4-5D6E-409C-BE32-E72D297353CC}">
                <c16:uniqueId val="{00000003-23FC-4591-B279-1346515C6A0B}"/>
              </c:ext>
            </c:extLst>
          </c:dPt>
          <c:dPt>
            <c:idx val="3"/>
            <c:invertIfNegative val="0"/>
            <c:bubble3D val="0"/>
            <c:spPr>
              <a:solidFill>
                <a:srgbClr val="FFC000"/>
              </a:solidFill>
              <a:ln>
                <a:noFill/>
              </a:ln>
              <a:effectLst/>
            </c:spPr>
            <c:extLst>
              <c:ext xmlns:c16="http://schemas.microsoft.com/office/drawing/2014/chart" uri="{C3380CC4-5D6E-409C-BE32-E72D297353CC}">
                <c16:uniqueId val="{00000005-23FC-4591-B279-1346515C6A0B}"/>
              </c:ext>
            </c:extLst>
          </c:dPt>
          <c:cat>
            <c:strRef>
              <c:f>Sheet1!$A$38:$A$41</c:f>
              <c:strCache>
                <c:ptCount val="4"/>
                <c:pt idx="0">
                  <c:v>None</c:v>
                </c:pt>
                <c:pt idx="1">
                  <c:v>Less than 25%</c:v>
                </c:pt>
                <c:pt idx="2">
                  <c:v>25% - 50%</c:v>
                </c:pt>
                <c:pt idx="3">
                  <c:v>More than 50%</c:v>
                </c:pt>
              </c:strCache>
            </c:strRef>
          </c:cat>
          <c:val>
            <c:numRef>
              <c:f>Sheet1!$B$38:$B$41</c:f>
              <c:numCache>
                <c:formatCode>General</c:formatCode>
                <c:ptCount val="4"/>
                <c:pt idx="0">
                  <c:v>86</c:v>
                </c:pt>
                <c:pt idx="1">
                  <c:v>78</c:v>
                </c:pt>
                <c:pt idx="2">
                  <c:v>28</c:v>
                </c:pt>
                <c:pt idx="3">
                  <c:v>8</c:v>
                </c:pt>
              </c:numCache>
            </c:numRef>
          </c:val>
          <c:extLst>
            <c:ext xmlns:c16="http://schemas.microsoft.com/office/drawing/2014/chart" uri="{C3380CC4-5D6E-409C-BE32-E72D297353CC}">
              <c16:uniqueId val="{00000006-23FC-4591-B279-1346515C6A0B}"/>
            </c:ext>
          </c:extLst>
        </c:ser>
        <c:dLbls>
          <c:showLegendKey val="0"/>
          <c:showVal val="0"/>
          <c:showCatName val="0"/>
          <c:showSerName val="0"/>
          <c:showPercent val="0"/>
          <c:showBubbleSize val="0"/>
        </c:dLbls>
        <c:gapWidth val="150"/>
        <c:overlap val="100"/>
        <c:axId val="476761167"/>
        <c:axId val="476755407"/>
      </c:barChart>
      <c:catAx>
        <c:axId val="4767611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6755407"/>
        <c:crosses val="autoZero"/>
        <c:auto val="1"/>
        <c:lblAlgn val="ctr"/>
        <c:lblOffset val="100"/>
        <c:noMultiLvlLbl val="0"/>
      </c:catAx>
      <c:valAx>
        <c:axId val="4767554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676116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Sheet1!$B$49</c:f>
              <c:strCache>
                <c:ptCount val="1"/>
                <c:pt idx="0">
                  <c:v>Frequency</c:v>
                </c:pt>
              </c:strCache>
            </c:strRef>
          </c:tx>
          <c:spPr>
            <a:solidFill>
              <a:schemeClr val="accent1"/>
            </a:solidFill>
            <a:ln>
              <a:noFill/>
            </a:ln>
            <a:effectLst/>
          </c:spPr>
          <c:invertIfNegative val="0"/>
          <c:dPt>
            <c:idx val="0"/>
            <c:invertIfNegative val="0"/>
            <c:bubble3D val="0"/>
            <c:spPr>
              <a:solidFill>
                <a:schemeClr val="accent4">
                  <a:lumMod val="50000"/>
                </a:schemeClr>
              </a:solidFill>
              <a:ln>
                <a:noFill/>
              </a:ln>
              <a:effectLst/>
            </c:spPr>
            <c:extLst>
              <c:ext xmlns:c16="http://schemas.microsoft.com/office/drawing/2014/chart" uri="{C3380CC4-5D6E-409C-BE32-E72D297353CC}">
                <c16:uniqueId val="{00000001-D4CB-49C1-9C40-3214312CF5D2}"/>
              </c:ext>
            </c:extLst>
          </c:dPt>
          <c:dPt>
            <c:idx val="1"/>
            <c:invertIfNegative val="0"/>
            <c:bubble3D val="0"/>
            <c:spPr>
              <a:solidFill>
                <a:schemeClr val="accent2">
                  <a:lumMod val="50000"/>
                </a:schemeClr>
              </a:solidFill>
              <a:ln>
                <a:noFill/>
              </a:ln>
              <a:effectLst/>
            </c:spPr>
            <c:extLst>
              <c:ext xmlns:c16="http://schemas.microsoft.com/office/drawing/2014/chart" uri="{C3380CC4-5D6E-409C-BE32-E72D297353CC}">
                <c16:uniqueId val="{00000003-D4CB-49C1-9C40-3214312CF5D2}"/>
              </c:ext>
            </c:extLst>
          </c:dPt>
          <c:dPt>
            <c:idx val="2"/>
            <c:invertIfNegative val="0"/>
            <c:bubble3D val="0"/>
            <c:spPr>
              <a:solidFill>
                <a:schemeClr val="bg2">
                  <a:lumMod val="75000"/>
                </a:schemeClr>
              </a:solidFill>
              <a:ln>
                <a:noFill/>
              </a:ln>
              <a:effectLst/>
            </c:spPr>
            <c:extLst>
              <c:ext xmlns:c16="http://schemas.microsoft.com/office/drawing/2014/chart" uri="{C3380CC4-5D6E-409C-BE32-E72D297353CC}">
                <c16:uniqueId val="{00000005-D4CB-49C1-9C40-3214312CF5D2}"/>
              </c:ext>
            </c:extLst>
          </c:dPt>
          <c:cat>
            <c:strRef>
              <c:f>Sheet1!$A$50:$A$52</c:f>
              <c:strCache>
                <c:ptCount val="3"/>
                <c:pt idx="0">
                  <c:v>Very Familiar</c:v>
                </c:pt>
                <c:pt idx="1">
                  <c:v>Somewhat Familiar</c:v>
                </c:pt>
                <c:pt idx="2">
                  <c:v>Heard About It but Unfamiliar</c:v>
                </c:pt>
              </c:strCache>
            </c:strRef>
          </c:cat>
          <c:val>
            <c:numRef>
              <c:f>Sheet1!$B$50:$B$52</c:f>
              <c:numCache>
                <c:formatCode>General</c:formatCode>
                <c:ptCount val="3"/>
                <c:pt idx="0">
                  <c:v>40</c:v>
                </c:pt>
                <c:pt idx="1">
                  <c:v>78</c:v>
                </c:pt>
                <c:pt idx="2">
                  <c:v>82</c:v>
                </c:pt>
              </c:numCache>
            </c:numRef>
          </c:val>
          <c:extLst>
            <c:ext xmlns:c16="http://schemas.microsoft.com/office/drawing/2014/chart" uri="{C3380CC4-5D6E-409C-BE32-E72D297353CC}">
              <c16:uniqueId val="{00000006-D4CB-49C1-9C40-3214312CF5D2}"/>
            </c:ext>
          </c:extLst>
        </c:ser>
        <c:dLbls>
          <c:showLegendKey val="0"/>
          <c:showVal val="0"/>
          <c:showCatName val="0"/>
          <c:showSerName val="0"/>
          <c:showPercent val="0"/>
          <c:showBubbleSize val="0"/>
        </c:dLbls>
        <c:gapWidth val="150"/>
        <c:overlap val="100"/>
        <c:axId val="667294495"/>
        <c:axId val="667296895"/>
      </c:barChart>
      <c:catAx>
        <c:axId val="6672944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296895"/>
        <c:crosses val="autoZero"/>
        <c:auto val="1"/>
        <c:lblAlgn val="ctr"/>
        <c:lblOffset val="100"/>
        <c:noMultiLvlLbl val="0"/>
      </c:catAx>
      <c:valAx>
        <c:axId val="6672968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29449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Sheet1!$B$58</c:f>
              <c:strCache>
                <c:ptCount val="1"/>
                <c:pt idx="0">
                  <c:v>Frequency</c:v>
                </c:pt>
              </c:strCache>
            </c:strRef>
          </c:tx>
          <c:spPr>
            <a:solidFill>
              <a:schemeClr val="accent1"/>
            </a:solidFill>
            <a:ln>
              <a:noFill/>
            </a:ln>
            <a:effectLst/>
          </c:spPr>
          <c:invertIfNegative val="0"/>
          <c:dPt>
            <c:idx val="0"/>
            <c:invertIfNegative val="0"/>
            <c:bubble3D val="0"/>
            <c:spPr>
              <a:solidFill>
                <a:schemeClr val="accent6">
                  <a:lumMod val="75000"/>
                </a:schemeClr>
              </a:solidFill>
              <a:ln>
                <a:noFill/>
              </a:ln>
              <a:effectLst/>
            </c:spPr>
            <c:extLst>
              <c:ext xmlns:c16="http://schemas.microsoft.com/office/drawing/2014/chart" uri="{C3380CC4-5D6E-409C-BE32-E72D297353CC}">
                <c16:uniqueId val="{00000001-5D4A-48FE-B5BE-081E926BB92B}"/>
              </c:ext>
            </c:extLst>
          </c:dPt>
          <c:dPt>
            <c:idx val="1"/>
            <c:invertIfNegative val="0"/>
            <c:bubble3D val="0"/>
            <c:spPr>
              <a:solidFill>
                <a:schemeClr val="accent3">
                  <a:lumMod val="60000"/>
                  <a:lumOff val="40000"/>
                </a:schemeClr>
              </a:solidFill>
              <a:ln>
                <a:noFill/>
              </a:ln>
              <a:effectLst/>
            </c:spPr>
            <c:extLst>
              <c:ext xmlns:c16="http://schemas.microsoft.com/office/drawing/2014/chart" uri="{C3380CC4-5D6E-409C-BE32-E72D297353CC}">
                <c16:uniqueId val="{00000003-5D4A-48FE-B5BE-081E926BB92B}"/>
              </c:ext>
            </c:extLst>
          </c:dPt>
          <c:dPt>
            <c:idx val="2"/>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5-5D4A-48FE-B5BE-081E926BB92B}"/>
              </c:ext>
            </c:extLst>
          </c:dPt>
          <c:dPt>
            <c:idx val="3"/>
            <c:invertIfNegative val="0"/>
            <c:bubble3D val="0"/>
            <c:spPr>
              <a:solidFill>
                <a:schemeClr val="accent5">
                  <a:lumMod val="40000"/>
                  <a:lumOff val="60000"/>
                </a:schemeClr>
              </a:solidFill>
              <a:ln>
                <a:noFill/>
              </a:ln>
              <a:effectLst/>
            </c:spPr>
            <c:extLst>
              <c:ext xmlns:c16="http://schemas.microsoft.com/office/drawing/2014/chart" uri="{C3380CC4-5D6E-409C-BE32-E72D297353CC}">
                <c16:uniqueId val="{00000007-5D4A-48FE-B5BE-081E926BB92B}"/>
              </c:ext>
            </c:extLst>
          </c:dPt>
          <c:cat>
            <c:strRef>
              <c:f>Sheet1!$A$59:$A$62</c:f>
              <c:strCache>
                <c:ptCount val="4"/>
                <c:pt idx="0">
                  <c:v>Financial Advisor</c:v>
                </c:pt>
                <c:pt idx="1">
                  <c:v>Social Media</c:v>
                </c:pt>
                <c:pt idx="2">
                  <c:v>News Article</c:v>
                </c:pt>
                <c:pt idx="3">
                  <c:v>Investment Platforms</c:v>
                </c:pt>
              </c:strCache>
            </c:strRef>
          </c:cat>
          <c:val>
            <c:numRef>
              <c:f>Sheet1!$B$59:$B$62</c:f>
              <c:numCache>
                <c:formatCode>General</c:formatCode>
                <c:ptCount val="4"/>
                <c:pt idx="0">
                  <c:v>46</c:v>
                </c:pt>
                <c:pt idx="1">
                  <c:v>90</c:v>
                </c:pt>
                <c:pt idx="2">
                  <c:v>28</c:v>
                </c:pt>
                <c:pt idx="3">
                  <c:v>36</c:v>
                </c:pt>
              </c:numCache>
            </c:numRef>
          </c:val>
          <c:extLst>
            <c:ext xmlns:c16="http://schemas.microsoft.com/office/drawing/2014/chart" uri="{C3380CC4-5D6E-409C-BE32-E72D297353CC}">
              <c16:uniqueId val="{00000008-5D4A-48FE-B5BE-081E926BB92B}"/>
            </c:ext>
          </c:extLst>
        </c:ser>
        <c:dLbls>
          <c:showLegendKey val="0"/>
          <c:showVal val="0"/>
          <c:showCatName val="0"/>
          <c:showSerName val="0"/>
          <c:showPercent val="0"/>
          <c:showBubbleSize val="0"/>
        </c:dLbls>
        <c:gapWidth val="150"/>
        <c:overlap val="100"/>
        <c:axId val="672380031"/>
        <c:axId val="672372831"/>
      </c:barChart>
      <c:catAx>
        <c:axId val="6723800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2372831"/>
        <c:crosses val="autoZero"/>
        <c:auto val="1"/>
        <c:lblAlgn val="ctr"/>
        <c:lblOffset val="100"/>
        <c:noMultiLvlLbl val="0"/>
      </c:catAx>
      <c:valAx>
        <c:axId val="6723728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238003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Sheet1!$B$69</c:f>
              <c:strCache>
                <c:ptCount val="1"/>
                <c:pt idx="0">
                  <c:v>Frequency</c:v>
                </c:pt>
              </c:strCache>
            </c:strRef>
          </c:tx>
          <c:spPr>
            <a:solidFill>
              <a:schemeClr val="accent1"/>
            </a:solidFill>
            <a:ln>
              <a:noFill/>
            </a:ln>
            <a:effectLst/>
          </c:spPr>
          <c:invertIfNegative val="0"/>
          <c:dPt>
            <c:idx val="1"/>
            <c:invertIfNegative val="0"/>
            <c:bubble3D val="0"/>
            <c:spPr>
              <a:solidFill>
                <a:srgbClr val="FFFF00"/>
              </a:solidFill>
              <a:ln>
                <a:noFill/>
              </a:ln>
              <a:effectLst/>
            </c:spPr>
            <c:extLst>
              <c:ext xmlns:c16="http://schemas.microsoft.com/office/drawing/2014/chart" uri="{C3380CC4-5D6E-409C-BE32-E72D297353CC}">
                <c16:uniqueId val="{00000001-439B-4AFD-8530-F4F326CAB826}"/>
              </c:ext>
            </c:extLst>
          </c:dPt>
          <c:dPt>
            <c:idx val="2"/>
            <c:invertIfNegative val="0"/>
            <c:bubble3D val="0"/>
            <c:spPr>
              <a:solidFill>
                <a:srgbClr val="FF0000"/>
              </a:solidFill>
              <a:ln>
                <a:noFill/>
              </a:ln>
              <a:effectLst/>
            </c:spPr>
            <c:extLst>
              <c:ext xmlns:c16="http://schemas.microsoft.com/office/drawing/2014/chart" uri="{C3380CC4-5D6E-409C-BE32-E72D297353CC}">
                <c16:uniqueId val="{00000003-439B-4AFD-8530-F4F326CAB826}"/>
              </c:ext>
            </c:extLst>
          </c:dPt>
          <c:cat>
            <c:strRef>
              <c:f>Sheet1!$A$70:$A$72</c:f>
              <c:strCache>
                <c:ptCount val="3"/>
                <c:pt idx="0">
                  <c:v>Environmental</c:v>
                </c:pt>
                <c:pt idx="1">
                  <c:v>Social</c:v>
                </c:pt>
                <c:pt idx="2">
                  <c:v>Governance (Corrected)</c:v>
                </c:pt>
              </c:strCache>
            </c:strRef>
          </c:cat>
          <c:val>
            <c:numRef>
              <c:f>Sheet1!$B$70:$B$72</c:f>
              <c:numCache>
                <c:formatCode>General</c:formatCode>
                <c:ptCount val="3"/>
                <c:pt idx="0">
                  <c:v>90</c:v>
                </c:pt>
                <c:pt idx="1">
                  <c:v>58</c:v>
                </c:pt>
                <c:pt idx="2">
                  <c:v>52</c:v>
                </c:pt>
              </c:numCache>
            </c:numRef>
          </c:val>
          <c:extLst>
            <c:ext xmlns:c16="http://schemas.microsoft.com/office/drawing/2014/chart" uri="{C3380CC4-5D6E-409C-BE32-E72D297353CC}">
              <c16:uniqueId val="{00000004-439B-4AFD-8530-F4F326CAB826}"/>
            </c:ext>
          </c:extLst>
        </c:ser>
        <c:dLbls>
          <c:showLegendKey val="0"/>
          <c:showVal val="0"/>
          <c:showCatName val="0"/>
          <c:showSerName val="0"/>
          <c:showPercent val="0"/>
          <c:showBubbleSize val="0"/>
        </c:dLbls>
        <c:gapWidth val="150"/>
        <c:overlap val="100"/>
        <c:axId val="667290175"/>
        <c:axId val="667293535"/>
      </c:barChart>
      <c:catAx>
        <c:axId val="6672901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293535"/>
        <c:crosses val="autoZero"/>
        <c:auto val="1"/>
        <c:lblAlgn val="ctr"/>
        <c:lblOffset val="100"/>
        <c:noMultiLvlLbl val="0"/>
      </c:catAx>
      <c:valAx>
        <c:axId val="6672935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29017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Sheet1!$B$81</c:f>
              <c:strCache>
                <c:ptCount val="1"/>
                <c:pt idx="0">
                  <c:v>Frequency</c:v>
                </c:pt>
              </c:strCache>
            </c:strRef>
          </c:tx>
          <c:spPr>
            <a:solidFill>
              <a:schemeClr val="tx1">
                <a:lumMod val="85000"/>
                <a:lumOff val="15000"/>
              </a:schemeClr>
            </a:solidFill>
            <a:ln>
              <a:noFill/>
            </a:ln>
            <a:effectLst/>
          </c:spPr>
          <c:invertIfNegative val="0"/>
          <c:dPt>
            <c:idx val="0"/>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01-1ADF-4A24-964B-12DF25F08204}"/>
              </c:ext>
            </c:extLst>
          </c:dPt>
          <c:dPt>
            <c:idx val="1"/>
            <c:invertIfNegative val="0"/>
            <c:bubble3D val="0"/>
            <c:spPr>
              <a:solidFill>
                <a:schemeClr val="bg1">
                  <a:lumMod val="65000"/>
                </a:schemeClr>
              </a:solidFill>
              <a:ln>
                <a:noFill/>
              </a:ln>
              <a:effectLst/>
            </c:spPr>
            <c:extLst>
              <c:ext xmlns:c16="http://schemas.microsoft.com/office/drawing/2014/chart" uri="{C3380CC4-5D6E-409C-BE32-E72D297353CC}">
                <c16:uniqueId val="{00000003-1ADF-4A24-964B-12DF25F08204}"/>
              </c:ext>
            </c:extLst>
          </c:dPt>
          <c:dPt>
            <c:idx val="2"/>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5-1ADF-4A24-964B-12DF25F08204}"/>
              </c:ext>
            </c:extLst>
          </c:dPt>
          <c:cat>
            <c:strRef>
              <c:f>Sheet1!$A$82:$A$84</c:f>
              <c:strCache>
                <c:ptCount val="3"/>
                <c:pt idx="0">
                  <c:v>Strongly Agree</c:v>
                </c:pt>
                <c:pt idx="1">
                  <c:v>Agree</c:v>
                </c:pt>
                <c:pt idx="2">
                  <c:v>Neutral</c:v>
                </c:pt>
              </c:strCache>
            </c:strRef>
          </c:cat>
          <c:val>
            <c:numRef>
              <c:f>Sheet1!$B$82:$B$84</c:f>
              <c:numCache>
                <c:formatCode>General</c:formatCode>
                <c:ptCount val="3"/>
                <c:pt idx="0">
                  <c:v>64</c:v>
                </c:pt>
                <c:pt idx="1">
                  <c:v>84</c:v>
                </c:pt>
                <c:pt idx="2">
                  <c:v>52</c:v>
                </c:pt>
              </c:numCache>
            </c:numRef>
          </c:val>
          <c:extLst>
            <c:ext xmlns:c16="http://schemas.microsoft.com/office/drawing/2014/chart" uri="{C3380CC4-5D6E-409C-BE32-E72D297353CC}">
              <c16:uniqueId val="{00000006-1ADF-4A24-964B-12DF25F08204}"/>
            </c:ext>
          </c:extLst>
        </c:ser>
        <c:dLbls>
          <c:showLegendKey val="0"/>
          <c:showVal val="0"/>
          <c:showCatName val="0"/>
          <c:showSerName val="0"/>
          <c:showPercent val="0"/>
          <c:showBubbleSize val="0"/>
        </c:dLbls>
        <c:gapWidth val="150"/>
        <c:overlap val="100"/>
        <c:axId val="581161647"/>
        <c:axId val="581162127"/>
      </c:barChart>
      <c:catAx>
        <c:axId val="5811616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1162127"/>
        <c:crosses val="autoZero"/>
        <c:auto val="1"/>
        <c:lblAlgn val="ctr"/>
        <c:lblOffset val="100"/>
        <c:noMultiLvlLbl val="0"/>
      </c:catAx>
      <c:valAx>
        <c:axId val="5811621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11616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Sheet1!$B$96</c:f>
              <c:strCache>
                <c:ptCount val="1"/>
                <c:pt idx="0">
                  <c:v>Frequency</c:v>
                </c:pt>
              </c:strCache>
            </c:strRef>
          </c:tx>
          <c:spPr>
            <a:solidFill>
              <a:schemeClr val="bg1">
                <a:lumMod val="75000"/>
              </a:schemeClr>
            </a:solidFill>
            <a:ln>
              <a:noFill/>
            </a:ln>
            <a:effectLst/>
          </c:spPr>
          <c:invertIfNegative val="0"/>
          <c:dPt>
            <c:idx val="1"/>
            <c:invertIfNegative val="0"/>
            <c:bubble3D val="0"/>
            <c:spPr>
              <a:solidFill>
                <a:schemeClr val="tx1">
                  <a:lumMod val="85000"/>
                  <a:lumOff val="15000"/>
                </a:schemeClr>
              </a:solidFill>
              <a:ln>
                <a:noFill/>
              </a:ln>
              <a:effectLst/>
            </c:spPr>
            <c:extLst>
              <c:ext xmlns:c16="http://schemas.microsoft.com/office/drawing/2014/chart" uri="{C3380CC4-5D6E-409C-BE32-E72D297353CC}">
                <c16:uniqueId val="{00000001-03D0-4375-AD06-7513EC637B4C}"/>
              </c:ext>
            </c:extLst>
          </c:dPt>
          <c:cat>
            <c:strRef>
              <c:f>Sheet1!$A$97:$A$98</c:f>
              <c:strCache>
                <c:ptCount val="2"/>
                <c:pt idx="0">
                  <c:v>Yes</c:v>
                </c:pt>
                <c:pt idx="1">
                  <c:v>No</c:v>
                </c:pt>
              </c:strCache>
            </c:strRef>
          </c:cat>
          <c:val>
            <c:numRef>
              <c:f>Sheet1!$B$97:$B$98</c:f>
              <c:numCache>
                <c:formatCode>General</c:formatCode>
                <c:ptCount val="2"/>
                <c:pt idx="0">
                  <c:v>102</c:v>
                </c:pt>
                <c:pt idx="1">
                  <c:v>98</c:v>
                </c:pt>
              </c:numCache>
            </c:numRef>
          </c:val>
          <c:extLst>
            <c:ext xmlns:c16="http://schemas.microsoft.com/office/drawing/2014/chart" uri="{C3380CC4-5D6E-409C-BE32-E72D297353CC}">
              <c16:uniqueId val="{00000002-03D0-4375-AD06-7513EC637B4C}"/>
            </c:ext>
          </c:extLst>
        </c:ser>
        <c:dLbls>
          <c:showLegendKey val="0"/>
          <c:showVal val="0"/>
          <c:showCatName val="0"/>
          <c:showSerName val="0"/>
          <c:showPercent val="0"/>
          <c:showBubbleSize val="0"/>
        </c:dLbls>
        <c:gapWidth val="150"/>
        <c:overlap val="100"/>
        <c:axId val="776796111"/>
        <c:axId val="776803791"/>
      </c:barChart>
      <c:catAx>
        <c:axId val="7767961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6803791"/>
        <c:crosses val="autoZero"/>
        <c:auto val="1"/>
        <c:lblAlgn val="ctr"/>
        <c:lblOffset val="100"/>
        <c:noMultiLvlLbl val="0"/>
      </c:catAx>
      <c:valAx>
        <c:axId val="7768037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67961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6">
  <a:schemeClr val="accent3"/>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63DCA-4807-48E1-A5D3-A6313BE11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8267</Words>
  <Characters>47123</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INDIA</dc:creator>
  <cp:lastModifiedBy>MAYANK SWAMI</cp:lastModifiedBy>
  <cp:revision>2</cp:revision>
  <dcterms:created xsi:type="dcterms:W3CDTF">2025-04-21T11:21:00Z</dcterms:created>
  <dcterms:modified xsi:type="dcterms:W3CDTF">2025-04-21T11:21:00Z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2025-04-15T00:00:00Z</vt:filetime>
  </property>
  <property fmtid="{D5CDD505-2E9C-101B-9397-08002B2CF9AE}" pid="3" name="Creator">
    <vt:lpwstr>Microsoft Word</vt:lpwstr>
  </property>
  <property fmtid="{D5CDD505-2E9C-101B-9397-08002B2CF9AE}" pid="4" name="LastSaved">
    <vt:filetime>2025-04-15T00:00:00Z</vt:filetime>
  </property>
  <property fmtid="{D5CDD505-2E9C-101B-9397-08002B2CF9AE}" pid="5" name="GrammarlyDocumentId">
    <vt:lpwstr>3d7d5eb65bfad4473fd61b0104220da9dad8a613ddc130dac236b87b2616074b</vt:lpwstr>
  </property>
</Properties>
</file>